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400"/>
      </w:pPr>
      <w:r>
        <w:rPr>
          <w:rFonts w:ascii="Calibri" w:cs="Calibri" w:eastAsia="Calibri" w:hAnsi="Calibri"/>
          <w:b w:val="false"/>
          <w:bCs w:val="false"/>
          <w:i w:val="false"/>
          <w:iCs w:val="false"/>
          <w:color w:val="000000"/>
          <w:sz w:val="22"/>
          <w:szCs w:val="22"/>
        </w:rPr>
        <w:t xml:space="preserve"/>
      </w:r>
    </w:p>
    <w:p>
      <w:pPr>
        <w:spacing w:after="0" w:before="0"/>
      </w:pPr>
      <w:r>
        <w:drawing>
          <wp:inline distT="0" distB="0" distL="0" distR="0">
            <wp:extent cx="1809750" cy="476250"/>
            <wp:effectExtent t="0" r="0" b="0" l="0"/>
            <wp:docPr id="1" name="JOTA" descr="JOTA logo" title="J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809750" cy="476250"/>
                    </a:xfrm>
                    <a:prstGeom prst="rect">
                      <a:avLst/>
                    </a:prstGeom>
                  </pic:spPr>
                </pic:pic>
              </a:graphicData>
            </a:graphic>
          </wp:inline>
        </w:drawing>
      </w:r>
    </w:p>
    <w:p>
      <w:pPr>
        <w:spacing w:after="0" w:before="280"/>
      </w:pPr>
      <w:r>
        <w:rPr>
          <w:rFonts w:ascii="Calibri" w:cs="Calibri" w:eastAsia="Calibri" w:hAnsi="Calibri"/>
          <w:b w:val="false"/>
          <w:bCs w:val="false"/>
          <w:i w:val="false"/>
          <w:iCs w:val="false"/>
          <w:color w:val="000000"/>
          <w:sz w:val="22"/>
          <w:szCs w:val="22"/>
        </w:rPr>
        <w:t xml:space="preserve"/>
      </w:r>
    </w:p>
    <w:p>
      <w:pPr>
        <w:spacing w:after="20" w:before="0"/>
      </w:pPr>
      <w:r>
        <w:rPr>
          <w:rFonts w:ascii="Calibri" w:cs="Calibri" w:eastAsia="Calibri" w:hAnsi="Calibri"/>
          <w:b/>
          <w:bCs/>
          <w:i w:val="false"/>
          <w:iCs w:val="false"/>
          <w:color w:val="1A1C2A"/>
          <w:sz w:val="64"/>
          <w:szCs w:val="64"/>
        </w:rPr>
        <w:t xml:space="preserve">INTERNAL EMS AUDIT REPORT</w:t>
      </w:r>
    </w:p>
    <w:p>
      <w:pPr>
        <w:pBdr>
          <w:bottom w:val="single" w:color="E10600" w:sz="16" w:space="8"/>
        </w:pBdr>
        <w:spacing w:after="0" w:before="0"/>
      </w:pPr>
      <w:r>
        <w:rPr>
          <w:rFonts w:ascii="Calibri" w:cs="Calibri" w:eastAsia="Calibri" w:hAnsi="Calibri"/>
          <w:b w:val="false"/>
          <w:bCs w:val="false"/>
          <w:i w:val="false"/>
          <w:iCs w:val="false"/>
          <w:color w:val="595959"/>
          <w:sz w:val="32"/>
          <w:szCs w:val="32"/>
        </w:rPr>
        <w:t xml:space="preserve">FIA 3-Star Environmental Accreditation Programme</w:t>
      </w:r>
    </w:p>
    <w:p>
      <w:pPr>
        <w:spacing w:after="0" w:before="240"/>
      </w:pPr>
      <w:r>
        <w:rPr>
          <w:rFonts w:ascii="Calibri" w:cs="Calibri" w:eastAsia="Calibri" w:hAnsi="Calibri"/>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Organisation</w:t>
            </w:r>
          </w:p>
        </w:tc>
        <w:tc>
          <w:tcPr>
            <w:tcW w:type="dxa" w:w="64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Cadillac Hertz Team JOTA</w:t>
            </w:r>
          </w:p>
        </w:tc>
      </w:tr>
      <w:tr>
        <w:tc>
          <w:tcPr>
            <w:tcW w:type="dxa" w:w="288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Address</w:t>
            </w:r>
          </w:p>
        </w:tc>
        <w:tc>
          <w:tcPr>
            <w:tcW w:type="dxa" w:w="64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Stubby Grove Farm, Bells Yew Green, TN3 9BT</w:t>
            </w:r>
          </w:p>
        </w:tc>
      </w:tr>
      <w:tr>
        <w:tc>
          <w:tcPr>
            <w:tcW w:type="dxa" w:w="288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Audit Reference</w:t>
            </w:r>
          </w:p>
        </w:tc>
        <w:tc>
          <w:tcPr>
            <w:tcW w:type="dxa" w:w="64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E10600"/>
                <w:sz w:val="22"/>
                <w:szCs w:val="22"/>
              </w:rPr>
              <w:t xml:space="preserve">IEA-2026-001</w:t>
            </w:r>
          </w:p>
        </w:tc>
      </w:tr>
      <w:tr>
        <w:tc>
          <w:tcPr>
            <w:tcW w:type="dxa" w:w="288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Audit Date</w:t>
            </w:r>
          </w:p>
        </w:tc>
        <w:tc>
          <w:tcPr>
            <w:tcW w:type="dxa" w:w="64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7 April 2026</w:t>
            </w:r>
          </w:p>
        </w:tc>
      </w:tr>
      <w:tr>
        <w:tc>
          <w:tcPr>
            <w:tcW w:type="dxa" w:w="288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Auditor</w:t>
            </w:r>
          </w:p>
        </w:tc>
        <w:tc>
          <w:tcPr>
            <w:tcW w:type="dxa" w:w="64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Timothy Rocker, Sustainability Manager</w:t>
            </w:r>
          </w:p>
        </w:tc>
      </w:tr>
      <w:tr>
        <w:tc>
          <w:tcPr>
            <w:tcW w:type="dxa" w:w="288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Standard</w:t>
            </w:r>
          </w:p>
        </w:tc>
        <w:tc>
          <w:tcPr>
            <w:tcW w:type="dxa" w:w="64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FIA Environmental Accreditation Programme — 3-Star</w:t>
            </w:r>
          </w:p>
        </w:tc>
      </w:tr>
      <w:tr>
        <w:tc>
          <w:tcPr>
            <w:tcW w:type="dxa" w:w="288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Audit Scope</w:t>
            </w:r>
          </w:p>
        </w:tc>
        <w:tc>
          <w:tcPr>
            <w:tcW w:type="dxa" w:w="64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Full EMS compliance audit covering all 17 FIA categories, including factory operations at Stubby Grove Farm, Bells Yew Green TN3 9BT, race team activities, logistics and supply chain engagement.</w:t>
            </w:r>
          </w:p>
        </w:tc>
      </w:tr>
      <w:tr>
        <w:tc>
          <w:tcPr>
            <w:tcW w:type="dxa" w:w="288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Classification</w:t>
            </w:r>
          </w:p>
        </w:tc>
        <w:tc>
          <w:tcPr>
            <w:tcW w:type="dxa" w:w="64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Confidential — for internal use and FIA auditor review only</w:t>
            </w:r>
          </w:p>
        </w:tc>
      </w:tr>
    </w:tbl>
    <w:p>
      <w:pPr>
        <w:spacing w:after="0" w:before="200"/>
      </w:pPr>
      <w:r>
        <w:rPr>
          <w:rFonts w:ascii="Calibri" w:cs="Calibri" w:eastAsia="Calibri" w:hAnsi="Calibri"/>
          <w:b w:val="false"/>
          <w:bCs w:val="false"/>
          <w:i w:val="false"/>
          <w:iCs w:val="false"/>
          <w:color w:val="000000"/>
          <w:sz w:val="22"/>
          <w:szCs w:val="22"/>
        </w:rPr>
        <w:t xml:space="preserve"/>
      </w:r>
    </w:p>
    <w:p>
      <w:pPr>
        <w:spacing w:after="0" w:before="0"/>
      </w:pPr>
      <w:r>
        <w:rPr>
          <w:rFonts w:ascii="Calibri" w:cs="Calibri" w:eastAsia="Calibri" w:hAnsi="Calibri"/>
          <w:b w:val="false"/>
          <w:bCs w:val="false"/>
          <w:i/>
          <w:iCs/>
          <w:color w:val="AAAAAA"/>
          <w:sz w:val="18"/>
          <w:szCs w:val="18"/>
        </w:rPr>
        <w:t xml:space="preserve">© 2026 Timothy Rocker · Cadillac Hertz Team JOTA · All rights reserved</w:t>
      </w:r>
    </w:p>
    <w:p>
      <w:pPr>
        <w:pageBreakBefore/>
      </w:pPr>
      <w:r>
        <w:rPr>
          <w:rFonts w:ascii="Calibri" w:cs="Calibri" w:eastAsia="Calibri" w:hAnsi="Calibri"/>
          <w:b w:val="false"/>
          <w:bCs w:val="false"/>
          <w:i w:val="false"/>
          <w:iCs w:val="false"/>
          <w:color w:val="000000"/>
          <w:sz w:val="22"/>
          <w:szCs w:val="22"/>
        </w:rPr>
        <w:t xml:space="preserve"/>
      </w:r>
    </w:p>
    <w:p>
      <w:pPr>
        <w:pBdr>
          <w:bottom w:val="single" w:color="E10600" w:sz="12" w:space="4"/>
        </w:pBdr>
        <w:spacing w:after="100" w:before="280"/>
      </w:pPr>
      <w:r>
        <w:rPr>
          <w:rFonts w:ascii="Calibri" w:cs="Calibri" w:eastAsia="Calibri" w:hAnsi="Calibri"/>
          <w:b/>
          <w:bCs/>
          <w:i w:val="false"/>
          <w:iCs w:val="false"/>
          <w:color w:val="1A1C2A"/>
          <w:sz w:val="28"/>
          <w:szCs w:val="28"/>
        </w:rPr>
        <w:t xml:space="preserve">1.  Purpose &amp; Scope</w:t>
      </w:r>
    </w:p>
    <w:p>
      <w:pPr>
        <w:spacing w:after="80" w:before="0"/>
        <w:jc w:val="left"/>
      </w:pPr>
      <w:r>
        <w:rPr>
          <w:rFonts w:ascii="Calibri" w:cs="Calibri" w:eastAsia="Calibri" w:hAnsi="Calibri"/>
          <w:b w:val="false"/>
          <w:bCs w:val="false"/>
          <w:i w:val="false"/>
          <w:iCs w:val="false"/>
          <w:color w:val="000000"/>
          <w:sz w:val="22"/>
          <w:szCs w:val="22"/>
        </w:rPr>
        <w:t xml:space="preserve">This Internal EMS Audit Report has been prepared by Timothy Rocker, Sustainability Manager, in his capacity as the designated Environmental Champion for Cadillac Hertz Team JOTA. The audit has been conducted against the requirements of the FIA Environmental Accreditation Programme (3-Star level) across all 17 assessment categories.</w:t>
      </w:r>
    </w:p>
    <w:p>
      <w:pPr>
        <w:spacing w:after="0" w:before="80"/>
      </w:pPr>
      <w:r>
        <w:rPr>
          <w:rFonts w:ascii="Calibri" w:cs="Calibri" w:eastAsia="Calibri" w:hAnsi="Calibri"/>
          <w:b w:val="false"/>
          <w:bCs w:val="false"/>
          <w:i w:val="false"/>
          <w:iCs w:val="false"/>
          <w:color w:val="000000"/>
          <w:sz w:val="22"/>
          <w:szCs w:val="22"/>
        </w:rPr>
        <w:t xml:space="preserve"/>
      </w:r>
    </w:p>
    <w:p>
      <w:pPr>
        <w:spacing w:after="80" w:before="0"/>
        <w:jc w:val="left"/>
      </w:pPr>
      <w:r>
        <w:rPr>
          <w:rFonts w:ascii="Calibri" w:cs="Calibri" w:eastAsia="Calibri" w:hAnsi="Calibri"/>
          <w:b w:val="false"/>
          <w:bCs w:val="false"/>
          <w:i w:val="false"/>
          <w:iCs w:val="false"/>
          <w:color w:val="000000"/>
          <w:sz w:val="22"/>
          <w:szCs w:val="22"/>
        </w:rPr>
        <w:t xml:space="preserve">The purpose of this audit is to:</w:t>
      </w:r>
    </w:p>
    <w:p>
      <w:pPr>
        <w:pStyle w:val="ListParagraph"/>
        <w:numPr>
          <w:ilvl w:val="0"/>
          <w:numId w:val="2"/>
        </w:numPr>
        <w:spacing w:after="40" w:before="40"/>
      </w:pPr>
      <w:r>
        <w:rPr>
          <w:rFonts w:ascii="Calibri" w:cs="Calibri" w:eastAsia="Calibri" w:hAnsi="Calibri"/>
          <w:b w:val="false"/>
          <w:bCs w:val="false"/>
          <w:i w:val="false"/>
          <w:iCs w:val="false"/>
          <w:color w:val="000000"/>
          <w:sz w:val="22"/>
          <w:szCs w:val="22"/>
        </w:rPr>
        <w:t xml:space="preserve">Verify that the Environmental Management System (EMS) is effectively implemented and maintained.</w:t>
      </w:r>
    </w:p>
    <w:p>
      <w:pPr>
        <w:pStyle w:val="ListParagraph"/>
        <w:numPr>
          <w:ilvl w:val="0"/>
          <w:numId w:val="2"/>
        </w:numPr>
        <w:spacing w:after="40" w:before="40"/>
      </w:pPr>
      <w:r>
        <w:rPr>
          <w:rFonts w:ascii="Calibri" w:cs="Calibri" w:eastAsia="Calibri" w:hAnsi="Calibri"/>
          <w:b w:val="false"/>
          <w:bCs w:val="false"/>
          <w:i w:val="false"/>
          <w:iCs w:val="false"/>
          <w:color w:val="000000"/>
          <w:sz w:val="22"/>
          <w:szCs w:val="22"/>
        </w:rPr>
        <w:t xml:space="preserve">Confirm that evidence across all 17 FIA categories is complete, current and accessible to auditors.</w:t>
      </w:r>
    </w:p>
    <w:p>
      <w:pPr>
        <w:pStyle w:val="ListParagraph"/>
        <w:numPr>
          <w:ilvl w:val="0"/>
          <w:numId w:val="2"/>
        </w:numPr>
        <w:spacing w:after="40" w:before="40"/>
      </w:pPr>
      <w:r>
        <w:rPr>
          <w:rFonts w:ascii="Calibri" w:cs="Calibri" w:eastAsia="Calibri" w:hAnsi="Calibri"/>
          <w:b w:val="false"/>
          <w:bCs w:val="false"/>
          <w:i w:val="false"/>
          <w:iCs w:val="false"/>
          <w:color w:val="000000"/>
          <w:sz w:val="22"/>
          <w:szCs w:val="22"/>
        </w:rPr>
        <w:t xml:space="preserve">Identify any remaining gaps or observations before the FIA on-site audit.</w:t>
      </w:r>
    </w:p>
    <w:p>
      <w:pPr>
        <w:pStyle w:val="ListParagraph"/>
        <w:numPr>
          <w:ilvl w:val="0"/>
          <w:numId w:val="2"/>
        </w:numPr>
        <w:spacing w:after="40" w:before="40"/>
      </w:pPr>
      <w:r>
        <w:rPr>
          <w:rFonts w:ascii="Calibri" w:cs="Calibri" w:eastAsia="Calibri" w:hAnsi="Calibri"/>
          <w:b w:val="false"/>
          <w:bCs w:val="false"/>
          <w:i w:val="false"/>
          <w:iCs w:val="false"/>
          <w:color w:val="000000"/>
          <w:sz w:val="22"/>
          <w:szCs w:val="22"/>
        </w:rPr>
        <w:t xml:space="preserve">Satisfy the FIA 3-Star requirement under Category 6 for a documented internal audit process.</w:t>
      </w:r>
    </w:p>
    <w:p>
      <w:pPr>
        <w:spacing w:after="0" w:before="80"/>
      </w:pPr>
      <w:r>
        <w:rPr>
          <w:rFonts w:ascii="Calibri" w:cs="Calibri" w:eastAsia="Calibri" w:hAnsi="Calibri"/>
          <w:b w:val="false"/>
          <w:bCs w:val="false"/>
          <w:i w:val="false"/>
          <w:iCs w:val="false"/>
          <w:color w:val="000000"/>
          <w:sz w:val="22"/>
          <w:szCs w:val="22"/>
        </w:rPr>
        <w:t xml:space="preserve"/>
      </w:r>
    </w:p>
    <w:p>
      <w:pPr>
        <w:spacing w:after="80" w:before="0"/>
        <w:jc w:val="left"/>
      </w:pPr>
      <w:r>
        <w:rPr>
          <w:rFonts w:ascii="Calibri" w:cs="Calibri" w:eastAsia="Calibri" w:hAnsi="Calibri"/>
          <w:b w:val="false"/>
          <w:bCs w:val="false"/>
          <w:i w:val="false"/>
          <w:iCs w:val="false"/>
          <w:color w:val="000000"/>
          <w:sz w:val="22"/>
          <w:szCs w:val="22"/>
        </w:rPr>
        <w:t xml:space="preserve">The audit covers all environmental activities and impacts associated with Cadillac Hertz Team JOTA's operations, including factory and office operations at Stubby Grove Farm, Bells Yew Green TN3 9BT, race event activities across the FIA World Endurance Championship calendar, logistics and transport, and supply chain engagement with 16 approved suppliers.</w:t>
      </w:r>
    </w:p>
    <w:p>
      <w:pPr>
        <w:spacing w:after="0" w:before="160"/>
      </w:pPr>
      <w:r>
        <w:rPr>
          <w:rFonts w:ascii="Calibri" w:cs="Calibri" w:eastAsia="Calibri" w:hAnsi="Calibri"/>
          <w:b w:val="false"/>
          <w:bCs w:val="false"/>
          <w:i w:val="false"/>
          <w:iCs w:val="false"/>
          <w:color w:val="000000"/>
          <w:sz w:val="22"/>
          <w:szCs w:val="22"/>
        </w:rPr>
        <w:t xml:space="preserve"/>
      </w:r>
    </w:p>
    <w:p>
      <w:pPr>
        <w:pBdr>
          <w:bottom w:val="single" w:color="E10600" w:sz="12" w:space="4"/>
        </w:pBdr>
        <w:spacing w:after="100" w:before="280"/>
      </w:pPr>
      <w:r>
        <w:rPr>
          <w:rFonts w:ascii="Calibri" w:cs="Calibri" w:eastAsia="Calibri" w:hAnsi="Calibri"/>
          <w:b/>
          <w:bCs/>
          <w:i w:val="false"/>
          <w:iCs w:val="false"/>
          <w:color w:val="1A1C2A"/>
          <w:sz w:val="28"/>
          <w:szCs w:val="28"/>
        </w:rPr>
        <w:t xml:space="preserve">2.  Executive Summary</w:t>
      </w:r>
    </w:p>
    <w:p>
      <w:pPr>
        <w:spacing w:after="80" w:before="0"/>
        <w:jc w:val="left"/>
      </w:pPr>
      <w:r>
        <w:rPr>
          <w:rFonts w:ascii="Calibri" w:cs="Calibri" w:eastAsia="Calibri" w:hAnsi="Calibri"/>
          <w:b w:val="false"/>
          <w:bCs w:val="false"/>
          <w:i w:val="false"/>
          <w:iCs w:val="false"/>
          <w:color w:val="000000"/>
          <w:sz w:val="22"/>
          <w:szCs w:val="22"/>
        </w:rPr>
        <w:t xml:space="preserve">The internal audit finds that Cadillac Hertz Team JOTA's Environmental Management System is robustly implemented and the evidence pack is comprehensive and well-structured. The team demonstrates a strong culture of environmental accountability, supported by signed senior leadership commitment, detailed documentation, and measurable performance data across all key environmental impact areas.</w:t>
      </w:r>
    </w:p>
    <w:p>
      <w:pPr>
        <w:spacing w:after="0" w:before="80"/>
      </w:pPr>
      <w:r>
        <w:rPr>
          <w:rFonts w:ascii="Calibri" w:cs="Calibri" w:eastAsia="Calibri" w:hAnsi="Calibri"/>
          <w:b w:val="false"/>
          <w:bCs w:val="false"/>
          <w:i w:val="false"/>
          <w:iCs w:val="false"/>
          <w:color w:val="000000"/>
          <w:sz w:val="22"/>
          <w:szCs w:val="22"/>
        </w:rPr>
        <w:t xml:space="preserve"/>
      </w:r>
    </w:p>
    <w:p>
      <w:pPr>
        <w:spacing w:after="80" w:before="0"/>
        <w:jc w:val="left"/>
      </w:pPr>
      <w:r>
        <w:rPr>
          <w:rFonts w:ascii="Calibri" w:cs="Calibri" w:eastAsia="Calibri" w:hAnsi="Calibri"/>
          <w:b w:val="false"/>
          <w:bCs w:val="false"/>
          <w:i w:val="false"/>
          <w:iCs w:val="false"/>
          <w:color w:val="000000"/>
          <w:sz w:val="22"/>
          <w:szCs w:val="22"/>
        </w:rPr>
        <w:t xml:space="preserve">Of the 17 FIA categories assessed, 11 are fully conforming with no issues identified. Five categories carry minor observations related to items that are in progress or dependent on third-party responses — none of these represent formal non-conformances, and all have active close-out plans in place. No formal non-conformances were identified.</w:t>
      </w:r>
    </w:p>
    <w:p>
      <w:pPr>
        <w:spacing w:after="0" w:before="120"/>
      </w:pPr>
      <w:r>
        <w:rPr>
          <w:rFonts w:ascii="Calibri" w:cs="Calibri" w:eastAsia="Calibri" w:hAnsi="Calibri"/>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rPr>
          <w:tblHeader/>
        </w:trPr>
        <w:tc>
          <w:tcPr>
            <w:tcW w:type="dxa" w:w="720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Finding Classification</w:t>
            </w:r>
          </w:p>
        </w:tc>
        <w:tc>
          <w:tcPr>
            <w:tcW w:type="dxa" w:w="216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Count</w:t>
            </w:r>
          </w:p>
        </w:tc>
      </w:tr>
      <w:tr>
        <w:tc>
          <w:tcPr>
            <w:tcW w:type="dxa" w:w="7200"/>
            <w:tcBorders>
              <w:top w:val="single" w:color="E2EFDA" w:sz="1"/>
              <w:left w:val="single" w:color="E2EFDA" w:sz="1"/>
              <w:bottom w:val="single" w:color="E2EFDA" w:sz="1"/>
              <w:right w:val="single" w:color="E2EFDA" w:sz="1"/>
            </w:tcBorders>
            <w:shd w:fill="E2EFDA" w:val="clear"/>
            <w:tcMar>
              <w:top w:type="dxa" w:w="100"/>
              <w:left w:type="dxa" w:w="150"/>
              <w:bottom w:type="dxa" w:w="100"/>
              <w:right w:type="dxa" w:w="150"/>
            </w:tcMar>
            <w:vAlign w:val="top"/>
          </w:tcPr>
          <w:p>
            <w:pPr>
              <w:spacing w:after="80" w:before="0"/>
              <w:jc w:val="left"/>
            </w:pPr>
            <w:r>
              <w:rPr>
                <w:rFonts w:ascii="Calibri" w:cs="Calibri" w:eastAsia="Calibri" w:hAnsi="Calibri"/>
                <w:b w:val="false"/>
                <w:bCs w:val="false"/>
                <w:i w:val="false"/>
                <w:iCs w:val="false"/>
                <w:color w:val="000000"/>
                <w:sz w:val="22"/>
                <w:szCs w:val="22"/>
              </w:rPr>
              <w:t xml:space="preserve">Conforming — no issues identified</w:t>
            </w:r>
          </w:p>
        </w:tc>
        <w:tc>
          <w:tcPr>
            <w:tcW w:type="dxa" w:w="2160"/>
            <w:tcBorders>
              <w:top w:val="single" w:color="E2EFDA" w:sz="1"/>
              <w:left w:val="single" w:color="E2EFDA" w:sz="1"/>
              <w:bottom w:val="single" w:color="E2EFDA" w:sz="1"/>
              <w:right w:val="single" w:color="E2EFDA" w:sz="1"/>
            </w:tcBorders>
            <w:shd w:fill="E2EFDA" w:val="clear"/>
            <w:tcMar>
              <w:top w:type="dxa" w:w="100"/>
              <w:left w:type="dxa" w:w="150"/>
              <w:bottom w:type="dxa" w:w="100"/>
              <w:right w:type="dxa" w:w="150"/>
            </w:tcMar>
            <w:vAlign w:val="top"/>
          </w:tcPr>
          <w:p>
            <w:pPr>
              <w:jc w:val="center"/>
            </w:pPr>
            <w:r>
              <w:rPr>
                <w:rFonts w:ascii="Calibri" w:cs="Calibri" w:eastAsia="Calibri" w:hAnsi="Calibri"/>
                <w:b/>
                <w:bCs/>
                <w:i w:val="false"/>
                <w:iCs w:val="false"/>
                <w:color w:val="375623"/>
                <w:sz w:val="22"/>
                <w:szCs w:val="22"/>
              </w:rPr>
              <w:t xml:space="preserve">11</w:t>
            </w:r>
          </w:p>
        </w:tc>
      </w:tr>
      <w:tr>
        <w:tc>
          <w:tcPr>
            <w:tcW w:type="dxa" w:w="7200"/>
            <w:tcBorders>
              <w:top w:val="single" w:color="FFF2CC" w:sz="1"/>
              <w:left w:val="single" w:color="FFF2CC" w:sz="1"/>
              <w:bottom w:val="single" w:color="FFF2CC" w:sz="1"/>
              <w:right w:val="single" w:color="FFF2CC" w:sz="1"/>
            </w:tcBorders>
            <w:shd w:fill="FFF2CC" w:val="clear"/>
            <w:tcMar>
              <w:top w:type="dxa" w:w="100"/>
              <w:left w:type="dxa" w:w="150"/>
              <w:bottom w:type="dxa" w:w="100"/>
              <w:right w:type="dxa" w:w="150"/>
            </w:tcMar>
            <w:vAlign w:val="top"/>
          </w:tcPr>
          <w:p>
            <w:pPr>
              <w:spacing w:after="80" w:before="0"/>
              <w:jc w:val="left"/>
            </w:pPr>
            <w:r>
              <w:rPr>
                <w:rFonts w:ascii="Calibri" w:cs="Calibri" w:eastAsia="Calibri" w:hAnsi="Calibri"/>
                <w:b w:val="false"/>
                <w:bCs w:val="false"/>
                <w:i w:val="false"/>
                <w:iCs w:val="false"/>
                <w:color w:val="000000"/>
                <w:sz w:val="22"/>
                <w:szCs w:val="22"/>
              </w:rPr>
              <w:t xml:space="preserve">Observation — minor point noted, actively being addressed, no formal non-conformance</w:t>
            </w:r>
          </w:p>
        </w:tc>
        <w:tc>
          <w:tcPr>
            <w:tcW w:type="dxa" w:w="2160"/>
            <w:tcBorders>
              <w:top w:val="single" w:color="FFF2CC" w:sz="1"/>
              <w:left w:val="single" w:color="FFF2CC" w:sz="1"/>
              <w:bottom w:val="single" w:color="FFF2CC" w:sz="1"/>
              <w:right w:val="single" w:color="FFF2CC" w:sz="1"/>
            </w:tcBorders>
            <w:shd w:fill="FFF2CC" w:val="clear"/>
            <w:tcMar>
              <w:top w:type="dxa" w:w="100"/>
              <w:left w:type="dxa" w:w="150"/>
              <w:bottom w:type="dxa" w:w="100"/>
              <w:right w:type="dxa" w:w="150"/>
            </w:tcMar>
            <w:vAlign w:val="top"/>
          </w:tcPr>
          <w:p>
            <w:pPr>
              <w:jc w:val="center"/>
            </w:pPr>
            <w:r>
              <w:rPr>
                <w:rFonts w:ascii="Calibri" w:cs="Calibri" w:eastAsia="Calibri" w:hAnsi="Calibri"/>
                <w:b/>
                <w:bCs/>
                <w:i w:val="false"/>
                <w:iCs w:val="false"/>
                <w:color w:val="7F6000"/>
                <w:sz w:val="22"/>
                <w:szCs w:val="22"/>
              </w:rPr>
              <w:t xml:space="preserve">5</w:t>
            </w:r>
          </w:p>
        </w:tc>
      </w:tr>
      <w:tr>
        <w:tc>
          <w:tcPr>
            <w:tcW w:type="dxa" w:w="7200"/>
            <w:tcBorders>
              <w:top w:val="single" w:color="FFF2CC" w:sz="1"/>
              <w:left w:val="single" w:color="FFF2CC" w:sz="1"/>
              <w:bottom w:val="single" w:color="FFF2CC" w:sz="1"/>
              <w:right w:val="single" w:color="FFF2CC" w:sz="1"/>
            </w:tcBorders>
            <w:shd w:fill="FFF2CC" w:val="clear"/>
            <w:tcMar>
              <w:top w:type="dxa" w:w="100"/>
              <w:left w:type="dxa" w:w="150"/>
              <w:bottom w:type="dxa" w:w="100"/>
              <w:right w:type="dxa" w:w="150"/>
            </w:tcMar>
            <w:vAlign w:val="top"/>
          </w:tcPr>
          <w:p>
            <w:pPr>
              <w:spacing w:after="80" w:before="0"/>
              <w:jc w:val="left"/>
            </w:pPr>
            <w:r>
              <w:rPr>
                <w:rFonts w:ascii="Calibri" w:cs="Calibri" w:eastAsia="Calibri" w:hAnsi="Calibri"/>
                <w:b w:val="false"/>
                <w:bCs w:val="false"/>
                <w:i w:val="false"/>
                <w:iCs w:val="false"/>
                <w:color w:val="000000"/>
                <w:sz w:val="22"/>
                <w:szCs w:val="22"/>
              </w:rPr>
              <w:t xml:space="preserve">In Progress — evidence collection ongoing, external dependency (water data)</w:t>
            </w:r>
          </w:p>
        </w:tc>
        <w:tc>
          <w:tcPr>
            <w:tcW w:type="dxa" w:w="2160"/>
            <w:tcBorders>
              <w:top w:val="single" w:color="FFF2CC" w:sz="1"/>
              <w:left w:val="single" w:color="FFF2CC" w:sz="1"/>
              <w:bottom w:val="single" w:color="FFF2CC" w:sz="1"/>
              <w:right w:val="single" w:color="FFF2CC" w:sz="1"/>
            </w:tcBorders>
            <w:shd w:fill="FFF2CC" w:val="clear"/>
            <w:tcMar>
              <w:top w:type="dxa" w:w="100"/>
              <w:left w:type="dxa" w:w="150"/>
              <w:bottom w:type="dxa" w:w="100"/>
              <w:right w:type="dxa" w:w="150"/>
            </w:tcMar>
            <w:vAlign w:val="top"/>
          </w:tcPr>
          <w:p>
            <w:pPr>
              <w:jc w:val="center"/>
            </w:pPr>
            <w:r>
              <w:rPr>
                <w:rFonts w:ascii="Calibri" w:cs="Calibri" w:eastAsia="Calibri" w:hAnsi="Calibri"/>
                <w:b/>
                <w:bCs/>
                <w:i w:val="false"/>
                <w:iCs w:val="false"/>
                <w:color w:val="7F6000"/>
                <w:sz w:val="22"/>
                <w:szCs w:val="22"/>
              </w:rPr>
              <w:t xml:space="preserve">1</w:t>
            </w:r>
          </w:p>
        </w:tc>
      </w:tr>
      <w:tr>
        <w:tc>
          <w:tcPr>
            <w:tcW w:type="dxa" w:w="7200"/>
            <w:tcBorders>
              <w:top w:val="single" w:color="FCE4D6" w:sz="1"/>
              <w:left w:val="single" w:color="FCE4D6" w:sz="1"/>
              <w:bottom w:val="single" w:color="FCE4D6" w:sz="1"/>
              <w:right w:val="single" w:color="FCE4D6" w:sz="1"/>
            </w:tcBorders>
            <w:shd w:fill="FCE4D6" w:val="clear"/>
            <w:tcMar>
              <w:top w:type="dxa" w:w="100"/>
              <w:left w:type="dxa" w:w="150"/>
              <w:bottom w:type="dxa" w:w="100"/>
              <w:right w:type="dxa" w:w="150"/>
            </w:tcMar>
            <w:vAlign w:val="top"/>
          </w:tcPr>
          <w:p>
            <w:pPr>
              <w:spacing w:after="80" w:before="0"/>
              <w:jc w:val="left"/>
            </w:pPr>
            <w:r>
              <w:rPr>
                <w:rFonts w:ascii="Calibri" w:cs="Calibri" w:eastAsia="Calibri" w:hAnsi="Calibri"/>
                <w:b w:val="false"/>
                <w:bCs w:val="false"/>
                <w:i w:val="false"/>
                <w:iCs w:val="false"/>
                <w:color w:val="000000"/>
                <w:sz w:val="22"/>
                <w:szCs w:val="22"/>
              </w:rPr>
              <w:t xml:space="preserve">Non-Conformance — formal remedial action required</w:t>
            </w:r>
          </w:p>
        </w:tc>
        <w:tc>
          <w:tcPr>
            <w:tcW w:type="dxa" w:w="2160"/>
            <w:tcBorders>
              <w:top w:val="single" w:color="FCE4D6" w:sz="1"/>
              <w:left w:val="single" w:color="FCE4D6" w:sz="1"/>
              <w:bottom w:val="single" w:color="FCE4D6" w:sz="1"/>
              <w:right w:val="single" w:color="FCE4D6" w:sz="1"/>
            </w:tcBorders>
            <w:shd w:fill="FCE4D6" w:val="clear"/>
            <w:tcMar>
              <w:top w:type="dxa" w:w="100"/>
              <w:left w:type="dxa" w:w="150"/>
              <w:bottom w:type="dxa" w:w="100"/>
              <w:right w:type="dxa" w:w="150"/>
            </w:tcMar>
            <w:vAlign w:val="top"/>
          </w:tcPr>
          <w:p>
            <w:pPr>
              <w:jc w:val="center"/>
            </w:pPr>
            <w:r>
              <w:rPr>
                <w:rFonts w:ascii="Calibri" w:cs="Calibri" w:eastAsia="Calibri" w:hAnsi="Calibri"/>
                <w:b/>
                <w:bCs/>
                <w:i w:val="false"/>
                <w:iCs w:val="false"/>
                <w:color w:val="833C00"/>
                <w:sz w:val="22"/>
                <w:szCs w:val="22"/>
              </w:rPr>
              <w:t xml:space="preserve">0</w:t>
            </w:r>
          </w:p>
        </w:tc>
      </w:tr>
      <w:tr>
        <w:tc>
          <w:tcPr>
            <w:tcW w:type="dxa" w:w="7200"/>
            <w:tcBorders>
              <w:top w:val="single" w:color="F2F2F2" w:sz="1"/>
              <w:left w:val="single" w:color="F2F2F2" w:sz="1"/>
              <w:bottom w:val="single" w:color="F2F2F2" w:sz="1"/>
              <w:right w:val="single" w:color="F2F2F2" w:sz="1"/>
            </w:tcBorders>
            <w:shd w:fill="F2F2F2" w:val="clear"/>
            <w:tcMar>
              <w:top w:type="dxa" w:w="100"/>
              <w:left w:type="dxa" w:w="150"/>
              <w:bottom w:type="dxa" w:w="100"/>
              <w:right w:type="dxa" w:w="150"/>
            </w:tcMar>
            <w:vAlign w:val="top"/>
          </w:tcPr>
          <w:p>
            <w:pPr>
              <w:spacing w:after="80" w:before="0"/>
              <w:jc w:val="left"/>
            </w:pPr>
            <w:r>
              <w:rPr>
                <w:rFonts w:ascii="Calibri" w:cs="Calibri" w:eastAsia="Calibri" w:hAnsi="Calibri"/>
                <w:b/>
                <w:bCs/>
                <w:i w:val="false"/>
                <w:iCs w:val="false"/>
                <w:color w:val="000000"/>
                <w:sz w:val="22"/>
                <w:szCs w:val="22"/>
              </w:rPr>
              <w:t xml:space="preserve">Total FIA categories audited</w:t>
            </w:r>
          </w:p>
        </w:tc>
        <w:tc>
          <w:tcPr>
            <w:tcW w:type="dxa" w:w="2160"/>
            <w:tcBorders>
              <w:top w:val="single" w:color="F2F2F2" w:sz="1"/>
              <w:left w:val="single" w:color="F2F2F2" w:sz="1"/>
              <w:bottom w:val="single" w:color="F2F2F2" w:sz="1"/>
              <w:right w:val="single" w:color="F2F2F2" w:sz="1"/>
            </w:tcBorders>
            <w:shd w:fill="F2F2F2" w:val="clear"/>
            <w:tcMar>
              <w:top w:type="dxa" w:w="100"/>
              <w:left w:type="dxa" w:w="150"/>
              <w:bottom w:type="dxa" w:w="100"/>
              <w:right w:type="dxa" w:w="150"/>
            </w:tcMar>
            <w:vAlign w:val="top"/>
          </w:tcPr>
          <w:p>
            <w:pPr>
              <w:jc w:val="center"/>
            </w:pPr>
            <w:r>
              <w:rPr>
                <w:rFonts w:ascii="Calibri" w:cs="Calibri" w:eastAsia="Calibri" w:hAnsi="Calibri"/>
                <w:b/>
                <w:bCs/>
                <w:i w:val="false"/>
                <w:iCs w:val="false"/>
                <w:color w:val="000000"/>
                <w:sz w:val="22"/>
                <w:szCs w:val="22"/>
              </w:rPr>
              <w:t xml:space="preserve">17</w:t>
            </w:r>
          </w:p>
        </w:tc>
      </w:tr>
    </w:tbl>
    <w:p>
      <w:pPr>
        <w:spacing w:after="0" w:before="120"/>
      </w:pPr>
      <w:r>
        <w:rPr>
          <w:rFonts w:ascii="Calibri" w:cs="Calibri" w:eastAsia="Calibri" w:hAnsi="Calibri"/>
          <w:b w:val="false"/>
          <w:bCs w:val="false"/>
          <w:i w:val="false"/>
          <w:iCs w:val="false"/>
          <w:color w:val="000000"/>
          <w:sz w:val="22"/>
          <w:szCs w:val="22"/>
        </w:rPr>
        <w:t xml:space="preserve"/>
      </w:r>
    </w:p>
    <w:p>
      <w:pPr>
        <w:spacing w:after="80" w:before="0"/>
        <w:jc w:val="left"/>
      </w:pPr>
      <w:r>
        <w:rPr>
          <w:rFonts w:ascii="Calibri" w:cs="Calibri" w:eastAsia="Calibri" w:hAnsi="Calibri"/>
          <w:b/>
          <w:bCs/>
          <w:i w:val="false"/>
          <w:iCs w:val="false"/>
          <w:color w:val="000000"/>
          <w:sz w:val="22"/>
          <w:szCs w:val="22"/>
        </w:rPr>
        <w:t xml:space="preserve">Note: </w:t>
      </w:r>
      <w:r>
        <w:rPr>
          <w:rFonts w:ascii="Calibri" w:cs="Calibri" w:eastAsia="Calibri" w:hAnsi="Calibri"/>
          <w:b w:val="false"/>
          <w:bCs w:val="false"/>
          <w:i/>
          <w:iCs/>
          <w:color w:val="595959"/>
          <w:sz w:val="22"/>
          <w:szCs w:val="22"/>
        </w:rPr>
        <w:t xml:space="preserve">All observations are actively being addressed prior to the FIA on-site audit. The most time-sensitive items are the environmental policy website publication (Cat. 3), water Q1 2026 data from the landlord (Cat. 9), and the 2025 transport log (Cat. 13). These are documented in full in Section 4.</w:t>
      </w:r>
    </w:p>
    <w:p>
      <w:pPr>
        <w:spacing w:after="0" w:before="160"/>
      </w:pPr>
      <w:r>
        <w:rPr>
          <w:rFonts w:ascii="Calibri" w:cs="Calibri" w:eastAsia="Calibri" w:hAnsi="Calibri"/>
          <w:b w:val="false"/>
          <w:bCs w:val="false"/>
          <w:i w:val="false"/>
          <w:iCs w:val="false"/>
          <w:color w:val="000000"/>
          <w:sz w:val="22"/>
          <w:szCs w:val="22"/>
        </w:rPr>
        <w:t xml:space="preserve"/>
      </w:r>
    </w:p>
    <w:p>
      <w:pPr>
        <w:pageBreakBefore/>
      </w:pPr>
      <w:r>
        <w:rPr>
          <w:rFonts w:ascii="Calibri" w:cs="Calibri" w:eastAsia="Calibri" w:hAnsi="Calibri"/>
          <w:b w:val="false"/>
          <w:bCs w:val="false"/>
          <w:i w:val="false"/>
          <w:iCs w:val="false"/>
          <w:color w:val="000000"/>
          <w:sz w:val="22"/>
          <w:szCs w:val="22"/>
        </w:rPr>
        <w:t xml:space="preserve"/>
      </w:r>
    </w:p>
    <w:p>
      <w:pPr>
        <w:pBdr>
          <w:bottom w:val="single" w:color="E10600" w:sz="12" w:space="4"/>
        </w:pBdr>
        <w:spacing w:after="100" w:before="280"/>
      </w:pPr>
      <w:r>
        <w:rPr>
          <w:rFonts w:ascii="Calibri" w:cs="Calibri" w:eastAsia="Calibri" w:hAnsi="Calibri"/>
          <w:b/>
          <w:bCs/>
          <w:i w:val="false"/>
          <w:iCs w:val="false"/>
          <w:color w:val="1A1C2A"/>
          <w:sz w:val="28"/>
          <w:szCs w:val="28"/>
        </w:rPr>
        <w:t xml:space="preserve">3.  Detailed Findings by FIA Category</w:t>
      </w:r>
    </w:p>
    <w:p>
      <w:pPr>
        <w:spacing w:after="80" w:before="0"/>
        <w:jc w:val="left"/>
      </w:pPr>
      <w:r>
        <w:rPr>
          <w:rFonts w:ascii="Calibri" w:cs="Calibri" w:eastAsia="Calibri" w:hAnsi="Calibri"/>
          <w:b w:val="false"/>
          <w:bCs w:val="false"/>
          <w:i w:val="false"/>
          <w:iCs w:val="false"/>
          <w:color w:val="000000"/>
          <w:sz w:val="22"/>
          <w:szCs w:val="22"/>
        </w:rPr>
        <w:t xml:space="preserve">The table below documents the audit finding for each of the 17 FIA Environmental Accreditation Programme categories. Evidence was reviewed against the 3-Star standard requirements. Categories are assessed as Conforming, Observation, In Progress, or Non-Conformance.</w:t>
      </w:r>
    </w:p>
    <w:p>
      <w:pPr>
        <w:spacing w:after="0" w:before="80"/>
      </w:pPr>
      <w:r>
        <w:rPr>
          <w:rFonts w:ascii="Calibri" w:cs="Calibri" w:eastAsia="Calibri" w:hAnsi="Calibri"/>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60"/>
        <w:gridCol w:w="2100"/>
        <w:gridCol w:w="2700"/>
        <w:gridCol w:w="1100"/>
        <w:gridCol w:w="2200"/>
      </w:tblGrid>
      <w:tr>
        <w:trPr>
          <w:tblHeader/>
        </w:trPr>
        <w:tc>
          <w:tcPr>
            <w:tcW w:type="dxa" w:w="126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Category</w:t>
            </w:r>
          </w:p>
        </w:tc>
        <w:tc>
          <w:tcPr>
            <w:tcW w:type="dxa" w:w="210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FIA 3-Star Requirement</w:t>
            </w:r>
          </w:p>
        </w:tc>
        <w:tc>
          <w:tcPr>
            <w:tcW w:type="dxa" w:w="270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Evidence Reviewed</w:t>
            </w:r>
          </w:p>
        </w:tc>
        <w:tc>
          <w:tcPr>
            <w:tcW w:type="dxa" w:w="110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Finding</w:t>
            </w:r>
          </w:p>
        </w:tc>
        <w:tc>
          <w:tcPr>
            <w:tcW w:type="dxa" w:w="220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Auditor Notes</w:t>
            </w:r>
          </w:p>
        </w:tc>
      </w:tr>
      <w:tr>
        <w:tc>
          <w:tcPr>
            <w:tcW w:type="dxa" w:w="126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20" w:before="0"/>
              <w:jc w:val="left"/>
            </w:pPr>
            <w:r>
              <w:rPr>
                <w:rFonts w:ascii="Calibri" w:cs="Calibri" w:eastAsia="Calibri" w:hAnsi="Calibri"/>
                <w:b/>
                <w:bCs/>
                <w:i w:val="false"/>
                <w:iCs w:val="false"/>
                <w:color w:val="FFFFFF"/>
                <w:sz w:val="20"/>
                <w:szCs w:val="20"/>
              </w:rPr>
              <w:t xml:space="preserve">Cat. 1</w:t>
            </w:r>
          </w:p>
          <w:p>
            <w:pPr>
              <w:spacing w:after="0" w:before="0"/>
              <w:jc w:val="left"/>
            </w:pPr>
            <w:r>
              <w:rPr>
                <w:rFonts w:ascii="Calibri" w:cs="Calibri" w:eastAsia="Calibri" w:hAnsi="Calibri"/>
                <w:b w:val="false"/>
                <w:bCs w:val="false"/>
                <w:i w:val="false"/>
                <w:iCs w:val="false"/>
                <w:color w:val="BBBBBB"/>
                <w:sz w:val="17"/>
                <w:szCs w:val="17"/>
              </w:rPr>
              <w:t xml:space="preserve">Senior Management
Commitment</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Formal management review conducted and signed by senior management. Environmental policy issued and communicated.</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Management Review Nov 2025 (signed S. Hignett, Director). Environmental Policy v2.0 March 2026 (signed). FIA 2-Star certificate. Green Operations Award 2024. Sustainability Excellence Award 2025.</w:t>
            </w:r>
          </w:p>
        </w:tc>
        <w:tc>
          <w:tcPr>
            <w:tcW w:type="dxa" w:w="1100"/>
            <w:tcBorders>
              <w:top w:val="single" w:color="E2EFDA" w:sz="1"/>
              <w:left w:val="single" w:color="E2EFDA" w:sz="1"/>
              <w:bottom w:val="single" w:color="E2EFDA" w:sz="1"/>
              <w:right w:val="single" w:color="E2EFDA" w:sz="1"/>
            </w:tcBorders>
            <w:shd w:fill="E2EFDA" w:val="clear"/>
            <w:tcMar>
              <w:top w:type="dxa" w:w="100"/>
              <w:left w:type="dxa" w:w="150"/>
              <w:bottom w:type="dxa" w:w="100"/>
              <w:right w:type="dxa" w:w="150"/>
            </w:tcMar>
            <w:vAlign w:val="top"/>
          </w:tcPr>
          <w:p>
            <w:pPr>
              <w:shd w:fill="E2EFDA" w:val="clear"/>
              <w:spacing w:after="40" w:before="40"/>
              <w:jc w:val="center"/>
            </w:pPr>
            <w:r>
              <w:rPr>
                <w:rFonts w:ascii="Calibri" w:cs="Calibri" w:eastAsia="Calibri" w:hAnsi="Calibri"/>
                <w:b/>
                <w:bCs/>
                <w:i w:val="false"/>
                <w:iCs w:val="false"/>
                <w:color w:val="375623"/>
                <w:sz w:val="18"/>
                <w:szCs w:val="18"/>
              </w:rPr>
              <w:t xml:space="preserve">CONFORMING</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iCs/>
                <w:color w:val="595959"/>
                <w:sz w:val="20"/>
                <w:szCs w:val="20"/>
              </w:rPr>
              <w:t xml:space="preserve">Signed MR demonstrates clear senior leadership commitment. Prior accreditation history evidences continual improvement trajectory. Policy website publication in progress — see Cat. 3 observation.</w:t>
            </w:r>
          </w:p>
        </w:tc>
      </w:tr>
      <w:tr>
        <w:tc>
          <w:tcPr>
            <w:tcW w:type="dxa" w:w="126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20" w:before="0"/>
              <w:jc w:val="left"/>
            </w:pPr>
            <w:r>
              <w:rPr>
                <w:rFonts w:ascii="Calibri" w:cs="Calibri" w:eastAsia="Calibri" w:hAnsi="Calibri"/>
                <w:b/>
                <w:bCs/>
                <w:i w:val="false"/>
                <w:iCs w:val="false"/>
                <w:color w:val="FFFFFF"/>
                <w:sz w:val="20"/>
                <w:szCs w:val="20"/>
              </w:rPr>
              <w:t xml:space="preserve">Cat. 2</w:t>
            </w:r>
          </w:p>
          <w:p>
            <w:pPr>
              <w:spacing w:after="0" w:before="0"/>
              <w:jc w:val="left"/>
            </w:pPr>
            <w:r>
              <w:rPr>
                <w:rFonts w:ascii="Calibri" w:cs="Calibri" w:eastAsia="Calibri" w:hAnsi="Calibri"/>
                <w:b w:val="false"/>
                <w:bCs w:val="false"/>
                <w:i w:val="false"/>
                <w:iCs w:val="false"/>
                <w:color w:val="BBBBBB"/>
                <w:sz w:val="17"/>
                <w:szCs w:val="17"/>
              </w:rPr>
              <w:t xml:space="preserve">Objectives &amp; Targets</w:t>
            </w:r>
          </w:p>
        </w:tc>
        <w:tc>
          <w:tcPr>
            <w:tcW w:type="dxa" w:w="21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SMART environmental objectives established with measurable KPIs and documented baselines.</w:t>
            </w:r>
          </w:p>
        </w:tc>
        <w:tc>
          <w:tcPr>
            <w:tcW w:type="dxa" w:w="27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Objectives Register (11 SMART objectives). KPI Framework. KPI Baseline Methodology 2024. Aims Register.</w:t>
            </w:r>
          </w:p>
        </w:tc>
        <w:tc>
          <w:tcPr>
            <w:tcW w:type="dxa" w:w="1100"/>
            <w:tcBorders>
              <w:top w:val="single" w:color="E2EFDA" w:sz="1"/>
              <w:left w:val="single" w:color="E2EFDA" w:sz="1"/>
              <w:bottom w:val="single" w:color="E2EFDA" w:sz="1"/>
              <w:right w:val="single" w:color="E2EFDA" w:sz="1"/>
            </w:tcBorders>
            <w:shd w:fill="E2EFDA" w:val="clear"/>
            <w:tcMar>
              <w:top w:type="dxa" w:w="100"/>
              <w:left w:type="dxa" w:w="150"/>
              <w:bottom w:type="dxa" w:w="100"/>
              <w:right w:type="dxa" w:w="150"/>
            </w:tcMar>
            <w:vAlign w:val="top"/>
          </w:tcPr>
          <w:p>
            <w:pPr>
              <w:shd w:fill="E2EFDA" w:val="clear"/>
              <w:spacing w:after="40" w:before="40"/>
              <w:jc w:val="center"/>
            </w:pPr>
            <w:r>
              <w:rPr>
                <w:rFonts w:ascii="Calibri" w:cs="Calibri" w:eastAsia="Calibri" w:hAnsi="Calibri"/>
                <w:b/>
                <w:bCs/>
                <w:i w:val="false"/>
                <w:iCs w:val="false"/>
                <w:color w:val="375623"/>
                <w:sz w:val="18"/>
                <w:szCs w:val="18"/>
              </w:rPr>
              <w:t xml:space="preserve">CONFORMING</w:t>
            </w:r>
          </w:p>
        </w:tc>
        <w:tc>
          <w:tcPr>
            <w:tcW w:type="dxa" w:w="22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iCs/>
                <w:color w:val="595959"/>
                <w:sz w:val="20"/>
                <w:szCs w:val="20"/>
              </w:rPr>
              <w:t xml:space="preserve">11 SMART objectives cover all material environmental impact areas. Baselines approved and methodology fully documented. All objectives have defined owners and target dates aligned with Policy commitments.</w:t>
            </w:r>
          </w:p>
        </w:tc>
      </w:tr>
      <w:tr>
        <w:tc>
          <w:tcPr>
            <w:tcW w:type="dxa" w:w="126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20" w:before="0"/>
              <w:jc w:val="left"/>
            </w:pPr>
            <w:r>
              <w:rPr>
                <w:rFonts w:ascii="Calibri" w:cs="Calibri" w:eastAsia="Calibri" w:hAnsi="Calibri"/>
                <w:b/>
                <w:bCs/>
                <w:i w:val="false"/>
                <w:iCs w:val="false"/>
                <w:color w:val="FFFFFF"/>
                <w:sz w:val="20"/>
                <w:szCs w:val="20"/>
              </w:rPr>
              <w:t xml:space="preserve">Cat. 3</w:t>
            </w:r>
          </w:p>
          <w:p>
            <w:pPr>
              <w:spacing w:after="0" w:before="0"/>
              <w:jc w:val="left"/>
            </w:pPr>
            <w:r>
              <w:rPr>
                <w:rFonts w:ascii="Calibri" w:cs="Calibri" w:eastAsia="Calibri" w:hAnsi="Calibri"/>
                <w:b w:val="false"/>
                <w:bCs w:val="false"/>
                <w:i w:val="false"/>
                <w:iCs w:val="false"/>
                <w:color w:val="BBBBBB"/>
                <w:sz w:val="17"/>
                <w:szCs w:val="17"/>
              </w:rPr>
              <w:t xml:space="preserve">Communication
&amp; Awareness</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Environmental policy communicated to all staff. External availability of policy confirmed. Stakeholder engagement plan in place.</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Environmental Awareness Email (T. Rocker, 26 Mar 2026). Email log confirming all 18 staff receipt by 31 Mar 2026. Communications Plan 2026. Jacob Garland reply 26 Mar; all 18 confirmed 31 Mar.</w:t>
            </w:r>
          </w:p>
        </w:tc>
        <w:tc>
          <w:tcPr>
            <w:tcW w:type="dxa" w:w="1100"/>
            <w:tcBorders>
              <w:top w:val="single" w:color="FFF2CC" w:sz="1"/>
              <w:left w:val="single" w:color="FFF2CC" w:sz="1"/>
              <w:bottom w:val="single" w:color="FFF2CC" w:sz="1"/>
              <w:right w:val="single" w:color="FFF2CC" w:sz="1"/>
            </w:tcBorders>
            <w:shd w:fill="FFF2CC" w:val="clear"/>
            <w:tcMar>
              <w:top w:type="dxa" w:w="100"/>
              <w:left w:type="dxa" w:w="150"/>
              <w:bottom w:type="dxa" w:w="100"/>
              <w:right w:type="dxa" w:w="150"/>
            </w:tcMar>
            <w:vAlign w:val="top"/>
          </w:tcPr>
          <w:p>
            <w:pPr>
              <w:shd w:fill="FFF2CC" w:val="clear"/>
              <w:spacing w:after="40" w:before="40"/>
              <w:jc w:val="center"/>
            </w:pPr>
            <w:r>
              <w:rPr>
                <w:rFonts w:ascii="Calibri" w:cs="Calibri" w:eastAsia="Calibri" w:hAnsi="Calibri"/>
                <w:b/>
                <w:bCs/>
                <w:i w:val="false"/>
                <w:iCs w:val="false"/>
                <w:color w:val="7F6000"/>
                <w:sz w:val="18"/>
                <w:szCs w:val="18"/>
              </w:rPr>
              <w:t xml:space="preserve">OBSERVATION</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iCs/>
                <w:color w:val="595959"/>
                <w:sz w:val="20"/>
                <w:szCs w:val="20"/>
              </w:rPr>
              <w:t xml:space="preserve">Internal communication fully evidenced — 18/18 staff confirmed. Website publication of policy requested 3 April 2026. Confirmation outstanding. OBS-1: Resolve before on-site audit.</w:t>
            </w:r>
          </w:p>
        </w:tc>
      </w:tr>
      <w:tr>
        <w:tc>
          <w:tcPr>
            <w:tcW w:type="dxa" w:w="126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20" w:before="0"/>
              <w:jc w:val="left"/>
            </w:pPr>
            <w:r>
              <w:rPr>
                <w:rFonts w:ascii="Calibri" w:cs="Calibri" w:eastAsia="Calibri" w:hAnsi="Calibri"/>
                <w:b/>
                <w:bCs/>
                <w:i w:val="false"/>
                <w:iCs w:val="false"/>
                <w:color w:val="FFFFFF"/>
                <w:sz w:val="20"/>
                <w:szCs w:val="20"/>
              </w:rPr>
              <w:t xml:space="preserve">Cat. 4</w:t>
            </w:r>
          </w:p>
          <w:p>
            <w:pPr>
              <w:spacing w:after="0" w:before="0"/>
              <w:jc w:val="left"/>
            </w:pPr>
            <w:r>
              <w:rPr>
                <w:rFonts w:ascii="Calibri" w:cs="Calibri" w:eastAsia="Calibri" w:hAnsi="Calibri"/>
                <w:b w:val="false"/>
                <w:bCs w:val="false"/>
                <w:i w:val="false"/>
                <w:iCs w:val="false"/>
                <w:color w:val="BBBBBB"/>
                <w:sz w:val="17"/>
                <w:szCs w:val="17"/>
              </w:rPr>
              <w:t xml:space="preserve">Legal Compliance</w:t>
            </w:r>
          </w:p>
        </w:tc>
        <w:tc>
          <w:tcPr>
            <w:tcW w:type="dxa" w:w="21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Legal obligations identified, assessed for applicability and compliance verified against all applicable legislation.</w:t>
            </w:r>
          </w:p>
        </w:tc>
        <w:tc>
          <w:tcPr>
            <w:tcW w:type="dxa" w:w="27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Legal Register (57 applicable obligations identified and classified). Audit Programme. Environmental Scope Assessment v1.0 (March 2026) — documents Cat. 15 and 16 applicability.</w:t>
            </w:r>
          </w:p>
        </w:tc>
        <w:tc>
          <w:tcPr>
            <w:tcW w:type="dxa" w:w="1100"/>
            <w:tcBorders>
              <w:top w:val="single" w:color="E2EFDA" w:sz="1"/>
              <w:left w:val="single" w:color="E2EFDA" w:sz="1"/>
              <w:bottom w:val="single" w:color="E2EFDA" w:sz="1"/>
              <w:right w:val="single" w:color="E2EFDA" w:sz="1"/>
            </w:tcBorders>
            <w:shd w:fill="E2EFDA" w:val="clear"/>
            <w:tcMar>
              <w:top w:type="dxa" w:w="100"/>
              <w:left w:type="dxa" w:w="150"/>
              <w:bottom w:type="dxa" w:w="100"/>
              <w:right w:type="dxa" w:w="150"/>
            </w:tcMar>
            <w:vAlign w:val="top"/>
          </w:tcPr>
          <w:p>
            <w:pPr>
              <w:shd w:fill="E2EFDA" w:val="clear"/>
              <w:spacing w:after="40" w:before="40"/>
              <w:jc w:val="center"/>
            </w:pPr>
            <w:r>
              <w:rPr>
                <w:rFonts w:ascii="Calibri" w:cs="Calibri" w:eastAsia="Calibri" w:hAnsi="Calibri"/>
                <w:b/>
                <w:bCs/>
                <w:i w:val="false"/>
                <w:iCs w:val="false"/>
                <w:color w:val="375623"/>
                <w:sz w:val="18"/>
                <w:szCs w:val="18"/>
              </w:rPr>
              <w:t xml:space="preserve">CONFORMING</w:t>
            </w:r>
          </w:p>
        </w:tc>
        <w:tc>
          <w:tcPr>
            <w:tcW w:type="dxa" w:w="22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iCs/>
                <w:color w:val="595959"/>
                <w:sz w:val="20"/>
                <w:szCs w:val="20"/>
              </w:rPr>
              <w:t xml:space="preserve">57 legal obligations formally identified. Scope assessment documents rationale for Cat. 15 and 16 applicability. Audit programme in place for systematic compliance verification. No non-compliances identified.</w:t>
            </w:r>
          </w:p>
        </w:tc>
      </w:tr>
      <w:tr>
        <w:tc>
          <w:tcPr>
            <w:tcW w:type="dxa" w:w="126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20" w:before="0"/>
              <w:jc w:val="left"/>
            </w:pPr>
            <w:r>
              <w:rPr>
                <w:rFonts w:ascii="Calibri" w:cs="Calibri" w:eastAsia="Calibri" w:hAnsi="Calibri"/>
                <w:b/>
                <w:bCs/>
                <w:i w:val="false"/>
                <w:iCs w:val="false"/>
                <w:color w:val="FFFFFF"/>
                <w:sz w:val="20"/>
                <w:szCs w:val="20"/>
              </w:rPr>
              <w:t xml:space="preserve">Cat. 5</w:t>
            </w:r>
          </w:p>
          <w:p>
            <w:pPr>
              <w:spacing w:after="0" w:before="0"/>
              <w:jc w:val="left"/>
            </w:pPr>
            <w:r>
              <w:rPr>
                <w:rFonts w:ascii="Calibri" w:cs="Calibri" w:eastAsia="Calibri" w:hAnsi="Calibri"/>
                <w:b w:val="false"/>
                <w:bCs w:val="false"/>
                <w:i w:val="false"/>
                <w:iCs w:val="false"/>
                <w:color w:val="BBBBBB"/>
                <w:sz w:val="17"/>
                <w:szCs w:val="17"/>
              </w:rPr>
              <w:t xml:space="preserve">Monitoring
&amp; Measurement</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Relevant environmental parameters monitored on a defined schedule with results recorded.</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Meter Readings register (electricity — complete for 2024/25). KPI monitoring framework. Fuel Consumption 2024–2025 XLSX.</w:t>
            </w:r>
          </w:p>
        </w:tc>
        <w:tc>
          <w:tcPr>
            <w:tcW w:type="dxa" w:w="1100"/>
            <w:tcBorders>
              <w:top w:val="single" w:color="FFF2CC" w:sz="1"/>
              <w:left w:val="single" w:color="FFF2CC" w:sz="1"/>
              <w:bottom w:val="single" w:color="FFF2CC" w:sz="1"/>
              <w:right w:val="single" w:color="FFF2CC" w:sz="1"/>
            </w:tcBorders>
            <w:shd w:fill="FFF2CC" w:val="clear"/>
            <w:tcMar>
              <w:top w:type="dxa" w:w="100"/>
              <w:left w:type="dxa" w:w="150"/>
              <w:bottom w:type="dxa" w:w="100"/>
              <w:right w:type="dxa" w:w="150"/>
            </w:tcMar>
            <w:vAlign w:val="top"/>
          </w:tcPr>
          <w:p>
            <w:pPr>
              <w:shd w:fill="FFF2CC" w:val="clear"/>
              <w:spacing w:after="40" w:before="40"/>
              <w:jc w:val="center"/>
            </w:pPr>
            <w:r>
              <w:rPr>
                <w:rFonts w:ascii="Calibri" w:cs="Calibri" w:eastAsia="Calibri" w:hAnsi="Calibri"/>
                <w:b/>
                <w:bCs/>
                <w:i w:val="false"/>
                <w:iCs w:val="false"/>
                <w:color w:val="7F6000"/>
                <w:sz w:val="18"/>
                <w:szCs w:val="18"/>
              </w:rPr>
              <w:t xml:space="preserve">OBSERVATION</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iCs/>
                <w:color w:val="595959"/>
                <w:sz w:val="20"/>
                <w:szCs w:val="20"/>
              </w:rPr>
              <w:t xml:space="preserve">Electricity and fuel monitoring complete. Water Q1 2026 data outstanding — landlord-managed meter, formally requested. OBS-2: Obtain water data and update register before on-site audit.</w:t>
            </w:r>
          </w:p>
        </w:tc>
      </w:tr>
      <w:tr>
        <w:tc>
          <w:tcPr>
            <w:tcW w:type="dxa" w:w="126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20" w:before="0"/>
              <w:jc w:val="left"/>
            </w:pPr>
            <w:r>
              <w:rPr>
                <w:rFonts w:ascii="Calibri" w:cs="Calibri" w:eastAsia="Calibri" w:hAnsi="Calibri"/>
                <w:b/>
                <w:bCs/>
                <w:i w:val="false"/>
                <w:iCs w:val="false"/>
                <w:color w:val="FFFFFF"/>
                <w:sz w:val="20"/>
                <w:szCs w:val="20"/>
              </w:rPr>
              <w:t xml:space="preserve">Cat. 6</w:t>
            </w:r>
          </w:p>
          <w:p>
            <w:pPr>
              <w:spacing w:after="0" w:before="0"/>
              <w:jc w:val="left"/>
            </w:pPr>
            <w:r>
              <w:rPr>
                <w:rFonts w:ascii="Calibri" w:cs="Calibri" w:eastAsia="Calibri" w:hAnsi="Calibri"/>
                <w:b w:val="false"/>
                <w:bCs w:val="false"/>
                <w:i w:val="false"/>
                <w:iCs w:val="false"/>
                <w:color w:val="BBBBBB"/>
                <w:sz w:val="17"/>
                <w:szCs w:val="17"/>
              </w:rPr>
              <w:t xml:space="preserve">Environmental
Management System</w:t>
            </w:r>
          </w:p>
        </w:tc>
        <w:tc>
          <w:tcPr>
            <w:tcW w:type="dxa" w:w="21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Documented EMS maintained with version control. Internal audit conducted demonstrating EMS compliance and effective implementation.</w:t>
            </w:r>
          </w:p>
        </w:tc>
        <w:tc>
          <w:tcPr>
            <w:tcW w:type="dxa" w:w="27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EMS Manual v2.1 (2026 — all procedures, objectives and compliance requirements). Document Index. Roles &amp; Responsibilities Register. This internal audit report (IEA-2026-001).</w:t>
            </w:r>
          </w:p>
        </w:tc>
        <w:tc>
          <w:tcPr>
            <w:tcW w:type="dxa" w:w="1100"/>
            <w:tcBorders>
              <w:top w:val="single" w:color="E2EFDA" w:sz="1"/>
              <w:left w:val="single" w:color="E2EFDA" w:sz="1"/>
              <w:bottom w:val="single" w:color="E2EFDA" w:sz="1"/>
              <w:right w:val="single" w:color="E2EFDA" w:sz="1"/>
            </w:tcBorders>
            <w:shd w:fill="E2EFDA" w:val="clear"/>
            <w:tcMar>
              <w:top w:type="dxa" w:w="100"/>
              <w:left w:type="dxa" w:w="150"/>
              <w:bottom w:type="dxa" w:w="100"/>
              <w:right w:type="dxa" w:w="150"/>
            </w:tcMar>
            <w:vAlign w:val="top"/>
          </w:tcPr>
          <w:p>
            <w:pPr>
              <w:shd w:fill="E2EFDA" w:val="clear"/>
              <w:spacing w:after="40" w:before="40"/>
              <w:jc w:val="center"/>
            </w:pPr>
            <w:r>
              <w:rPr>
                <w:rFonts w:ascii="Calibri" w:cs="Calibri" w:eastAsia="Calibri" w:hAnsi="Calibri"/>
                <w:b/>
                <w:bCs/>
                <w:i w:val="false"/>
                <w:iCs w:val="false"/>
                <w:color w:val="375623"/>
                <w:sz w:val="18"/>
                <w:szCs w:val="18"/>
              </w:rPr>
              <w:t xml:space="preserve">CONFORMING</w:t>
            </w:r>
          </w:p>
        </w:tc>
        <w:tc>
          <w:tcPr>
            <w:tcW w:type="dxa" w:w="22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iCs/>
                <w:color w:val="595959"/>
                <w:sz w:val="20"/>
                <w:szCs w:val="20"/>
              </w:rPr>
              <w:t xml:space="preserve">EMS Manual v2.1 covers all required procedures. This audit satisfies the FIA 3-Star Cat. 6 internal audit requirement. Document control maintained via version-controlled indexed register.</w:t>
            </w:r>
          </w:p>
        </w:tc>
      </w:tr>
      <w:tr>
        <w:tc>
          <w:tcPr>
            <w:tcW w:type="dxa" w:w="126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20" w:before="0"/>
              <w:jc w:val="left"/>
            </w:pPr>
            <w:r>
              <w:rPr>
                <w:rFonts w:ascii="Calibri" w:cs="Calibri" w:eastAsia="Calibri" w:hAnsi="Calibri"/>
                <w:b/>
                <w:bCs/>
                <w:i w:val="false"/>
                <w:iCs w:val="false"/>
                <w:color w:val="FFFFFF"/>
                <w:sz w:val="20"/>
                <w:szCs w:val="20"/>
              </w:rPr>
              <w:t xml:space="preserve">Cat. 7</w:t>
            </w:r>
          </w:p>
          <w:p>
            <w:pPr>
              <w:spacing w:after="0" w:before="0"/>
              <w:jc w:val="left"/>
            </w:pPr>
            <w:r>
              <w:rPr>
                <w:rFonts w:ascii="Calibri" w:cs="Calibri" w:eastAsia="Calibri" w:hAnsi="Calibri"/>
                <w:b w:val="false"/>
                <w:bCs w:val="false"/>
                <w:i w:val="false"/>
                <w:iCs w:val="false"/>
                <w:color w:val="BBBBBB"/>
                <w:sz w:val="17"/>
                <w:szCs w:val="17"/>
              </w:rPr>
              <w:t xml:space="preserve">Environmental
Aspects &amp; Impacts</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Significant aspects and impacts identified across operations and life cycle including supply chain. Register maintained and reviewed.</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Aspects Register (Improved 2026) — covers day-to-day and race event activities. Life cycle scope includes key suppliers and logistics partners. Biodiversity Survey and Habitat Protection Plan.</w:t>
            </w:r>
          </w:p>
        </w:tc>
        <w:tc>
          <w:tcPr>
            <w:tcW w:type="dxa" w:w="1100"/>
            <w:tcBorders>
              <w:top w:val="single" w:color="E2EFDA" w:sz="1"/>
              <w:left w:val="single" w:color="E2EFDA" w:sz="1"/>
              <w:bottom w:val="single" w:color="E2EFDA" w:sz="1"/>
              <w:right w:val="single" w:color="E2EFDA" w:sz="1"/>
            </w:tcBorders>
            <w:shd w:fill="E2EFDA" w:val="clear"/>
            <w:tcMar>
              <w:top w:type="dxa" w:w="100"/>
              <w:left w:type="dxa" w:w="150"/>
              <w:bottom w:type="dxa" w:w="100"/>
              <w:right w:type="dxa" w:w="150"/>
            </w:tcMar>
            <w:vAlign w:val="top"/>
          </w:tcPr>
          <w:p>
            <w:pPr>
              <w:shd w:fill="E2EFDA" w:val="clear"/>
              <w:spacing w:after="40" w:before="40"/>
              <w:jc w:val="center"/>
            </w:pPr>
            <w:r>
              <w:rPr>
                <w:rFonts w:ascii="Calibri" w:cs="Calibri" w:eastAsia="Calibri" w:hAnsi="Calibri"/>
                <w:b/>
                <w:bCs/>
                <w:i w:val="false"/>
                <w:iCs w:val="false"/>
                <w:color w:val="375623"/>
                <w:sz w:val="18"/>
                <w:szCs w:val="18"/>
              </w:rPr>
              <w:t xml:space="preserve">CONFORMING</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iCs/>
                <w:color w:val="595959"/>
                <w:sz w:val="20"/>
                <w:szCs w:val="20"/>
              </w:rPr>
              <w:t xml:space="preserve">Register covers all operational activities with life cycle perspective. Updated 2026 in line with FIA 3-Star criteria. Significant aspects determined and linked to objectives. Biodiversity aspects documented.</w:t>
            </w:r>
          </w:p>
        </w:tc>
      </w:tr>
      <w:tr>
        <w:tc>
          <w:tcPr>
            <w:tcW w:type="dxa" w:w="126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20" w:before="0"/>
              <w:jc w:val="left"/>
            </w:pPr>
            <w:r>
              <w:rPr>
                <w:rFonts w:ascii="Calibri" w:cs="Calibri" w:eastAsia="Calibri" w:hAnsi="Calibri"/>
                <w:b/>
                <w:bCs/>
                <w:i w:val="false"/>
                <w:iCs w:val="false"/>
                <w:color w:val="FFFFFF"/>
                <w:sz w:val="20"/>
                <w:szCs w:val="20"/>
              </w:rPr>
              <w:t xml:space="preserve">Cat. 8</w:t>
            </w:r>
          </w:p>
          <w:p>
            <w:pPr>
              <w:spacing w:after="0" w:before="0"/>
              <w:jc w:val="left"/>
            </w:pPr>
            <w:r>
              <w:rPr>
                <w:rFonts w:ascii="Calibri" w:cs="Calibri" w:eastAsia="Calibri" w:hAnsi="Calibri"/>
                <w:b w:val="false"/>
                <w:bCs w:val="false"/>
                <w:i w:val="false"/>
                <w:iCs w:val="false"/>
                <w:color w:val="BBBBBB"/>
                <w:sz w:val="17"/>
                <w:szCs w:val="17"/>
              </w:rPr>
              <w:t xml:space="preserve">Energy Management</w:t>
            </w:r>
          </w:p>
        </w:tc>
        <w:tc>
          <w:tcPr>
            <w:tcW w:type="dxa" w:w="21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Energy consumption monitored with efficiency measures implemented. Renewable energy sources considered and evidenced.</w:t>
            </w:r>
          </w:p>
        </w:tc>
        <w:tc>
          <w:tcPr>
            <w:tcW w:type="dxa" w:w="27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Meter Readings (electricity). Fuel Consumption 2024–2025. EPC (current). Boiler, AC and heating service records. Solar installation — 15kW operational. Objectives Register (energy reduction objective).</w:t>
            </w:r>
          </w:p>
        </w:tc>
        <w:tc>
          <w:tcPr>
            <w:tcW w:type="dxa" w:w="1100"/>
            <w:tcBorders>
              <w:top w:val="single" w:color="E2EFDA" w:sz="1"/>
              <w:left w:val="single" w:color="E2EFDA" w:sz="1"/>
              <w:bottom w:val="single" w:color="E2EFDA" w:sz="1"/>
              <w:right w:val="single" w:color="E2EFDA" w:sz="1"/>
            </w:tcBorders>
            <w:shd w:fill="E2EFDA" w:val="clear"/>
            <w:tcMar>
              <w:top w:type="dxa" w:w="100"/>
              <w:left w:type="dxa" w:w="150"/>
              <w:bottom w:type="dxa" w:w="100"/>
              <w:right w:type="dxa" w:w="150"/>
            </w:tcMar>
            <w:vAlign w:val="top"/>
          </w:tcPr>
          <w:p>
            <w:pPr>
              <w:shd w:fill="E2EFDA" w:val="clear"/>
              <w:spacing w:after="40" w:before="40"/>
              <w:jc w:val="center"/>
            </w:pPr>
            <w:r>
              <w:rPr>
                <w:rFonts w:ascii="Calibri" w:cs="Calibri" w:eastAsia="Calibri" w:hAnsi="Calibri"/>
                <w:b/>
                <w:bCs/>
                <w:i w:val="false"/>
                <w:iCs w:val="false"/>
                <w:color w:val="375623"/>
                <w:sz w:val="18"/>
                <w:szCs w:val="18"/>
              </w:rPr>
              <w:t xml:space="preserve">CONFORMING</w:t>
            </w:r>
          </w:p>
        </w:tc>
        <w:tc>
          <w:tcPr>
            <w:tcW w:type="dxa" w:w="22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iCs/>
                <w:color w:val="595959"/>
                <w:sz w:val="20"/>
                <w:szCs w:val="20"/>
              </w:rPr>
              <w:t xml:space="preserve">Solar installation delivers 0.00 tCO2e Scope 2 (market-based). Comprehensive metering in place. Building fabric and plant certificates current. Energy reduction objective evidenced against KPI baseline.</w:t>
            </w:r>
          </w:p>
        </w:tc>
      </w:tr>
      <w:tr>
        <w:tc>
          <w:tcPr>
            <w:tcW w:type="dxa" w:w="126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20" w:before="0"/>
              <w:jc w:val="left"/>
            </w:pPr>
            <w:r>
              <w:rPr>
                <w:rFonts w:ascii="Calibri" w:cs="Calibri" w:eastAsia="Calibri" w:hAnsi="Calibri"/>
                <w:b/>
                <w:bCs/>
                <w:i w:val="false"/>
                <w:iCs w:val="false"/>
                <w:color w:val="FFFFFF"/>
                <w:sz w:val="20"/>
                <w:szCs w:val="20"/>
              </w:rPr>
              <w:t xml:space="preserve">Cat. 9</w:t>
            </w:r>
          </w:p>
          <w:p>
            <w:pPr>
              <w:spacing w:after="0" w:before="0"/>
              <w:jc w:val="left"/>
            </w:pPr>
            <w:r>
              <w:rPr>
                <w:rFonts w:ascii="Calibri" w:cs="Calibri" w:eastAsia="Calibri" w:hAnsi="Calibri"/>
                <w:b w:val="false"/>
                <w:bCs w:val="false"/>
                <w:i w:val="false"/>
                <w:iCs w:val="false"/>
                <w:color w:val="BBBBBB"/>
                <w:sz w:val="17"/>
                <w:szCs w:val="17"/>
              </w:rPr>
              <w:t xml:space="preserve">Water Management</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Water consumption monitored with relevant reporting regime. Reduction targets set and tracked.</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Meter Readings register — electricity complete; water Q1 2026 data in progress. Full year 2025 data on file. Septic system service record filed.</w:t>
            </w:r>
          </w:p>
        </w:tc>
        <w:tc>
          <w:tcPr>
            <w:tcW w:type="dxa" w:w="1100"/>
            <w:tcBorders>
              <w:top w:val="single" w:color="FFF2CC" w:sz="1"/>
              <w:left w:val="single" w:color="FFF2CC" w:sz="1"/>
              <w:bottom w:val="single" w:color="FFF2CC" w:sz="1"/>
              <w:right w:val="single" w:color="FFF2CC" w:sz="1"/>
            </w:tcBorders>
            <w:shd w:fill="FFF2CC" w:val="clear"/>
            <w:tcMar>
              <w:top w:type="dxa" w:w="100"/>
              <w:left w:type="dxa" w:w="150"/>
              <w:bottom w:type="dxa" w:w="100"/>
              <w:right w:type="dxa" w:w="150"/>
            </w:tcMar>
            <w:vAlign w:val="top"/>
          </w:tcPr>
          <w:p>
            <w:pPr>
              <w:shd w:fill="FFF2CC" w:val="clear"/>
              <w:spacing w:after="40" w:before="40"/>
              <w:jc w:val="center"/>
            </w:pPr>
            <w:r>
              <w:rPr>
                <w:rFonts w:ascii="Calibri" w:cs="Calibri" w:eastAsia="Calibri" w:hAnsi="Calibri"/>
                <w:b/>
                <w:bCs/>
                <w:i w:val="false"/>
                <w:iCs w:val="false"/>
                <w:color w:val="7F6000"/>
                <w:sz w:val="18"/>
                <w:szCs w:val="18"/>
              </w:rPr>
              <w:t xml:space="preserve">IN PROGRESS</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iCs/>
                <w:color w:val="595959"/>
                <w:sz w:val="20"/>
                <w:szCs w:val="20"/>
              </w:rPr>
              <w:t xml:space="preserve">Water metering managed by facility landlord. Q1 2026 data formally requested; response pending. Full 2025 data on file. OBS-2: Update register on receipt of Q1 2026 data before on-site audit.</w:t>
            </w:r>
          </w:p>
        </w:tc>
      </w:tr>
      <w:tr>
        <w:tc>
          <w:tcPr>
            <w:tcW w:type="dxa" w:w="126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20" w:before="0"/>
              <w:jc w:val="left"/>
            </w:pPr>
            <w:r>
              <w:rPr>
                <w:rFonts w:ascii="Calibri" w:cs="Calibri" w:eastAsia="Calibri" w:hAnsi="Calibri"/>
                <w:b/>
                <w:bCs/>
                <w:i w:val="false"/>
                <w:iCs w:val="false"/>
                <w:color w:val="FFFFFF"/>
                <w:sz w:val="20"/>
                <w:szCs w:val="20"/>
              </w:rPr>
              <w:t xml:space="preserve">Cat. 10</w:t>
            </w:r>
          </w:p>
          <w:p>
            <w:pPr>
              <w:spacing w:after="0" w:before="0"/>
              <w:jc w:val="left"/>
            </w:pPr>
            <w:r>
              <w:rPr>
                <w:rFonts w:ascii="Calibri" w:cs="Calibri" w:eastAsia="Calibri" w:hAnsi="Calibri"/>
                <w:b w:val="false"/>
                <w:bCs w:val="false"/>
                <w:i w:val="false"/>
                <w:iCs w:val="false"/>
                <w:color w:val="BBBBBB"/>
                <w:sz w:val="17"/>
                <w:szCs w:val="17"/>
              </w:rPr>
              <w:t xml:space="preserve">Waste Management</w:t>
            </w:r>
          </w:p>
        </w:tc>
        <w:tc>
          <w:tcPr>
            <w:tcW w:type="dxa" w:w="21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Waste streams identified and segregated. Licensed contractors engaged. Landfill diversion rate demonstrated with records on file.</w:t>
            </w:r>
          </w:p>
        </w:tc>
        <w:tc>
          <w:tcPr>
            <w:tcW w:type="dxa" w:w="27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Veolia WTN 2026 (signed Leon Price, 18 Mar 2026). Slicker Recycling Compliance Pack v72. Veolia pre-treatment declaration. Controls Register. Processes Register.</w:t>
            </w:r>
          </w:p>
        </w:tc>
        <w:tc>
          <w:tcPr>
            <w:tcW w:type="dxa" w:w="1100"/>
            <w:tcBorders>
              <w:top w:val="single" w:color="E2EFDA" w:sz="1"/>
              <w:left w:val="single" w:color="E2EFDA" w:sz="1"/>
              <w:bottom w:val="single" w:color="E2EFDA" w:sz="1"/>
              <w:right w:val="single" w:color="E2EFDA" w:sz="1"/>
            </w:tcBorders>
            <w:shd w:fill="E2EFDA" w:val="clear"/>
            <w:tcMar>
              <w:top w:type="dxa" w:w="100"/>
              <w:left w:type="dxa" w:w="150"/>
              <w:bottom w:type="dxa" w:w="100"/>
              <w:right w:type="dxa" w:w="150"/>
            </w:tcMar>
            <w:vAlign w:val="top"/>
          </w:tcPr>
          <w:p>
            <w:pPr>
              <w:shd w:fill="E2EFDA" w:val="clear"/>
              <w:spacing w:after="40" w:before="40"/>
              <w:jc w:val="center"/>
            </w:pPr>
            <w:r>
              <w:rPr>
                <w:rFonts w:ascii="Calibri" w:cs="Calibri" w:eastAsia="Calibri" w:hAnsi="Calibri"/>
                <w:b/>
                <w:bCs/>
                <w:i w:val="false"/>
                <w:iCs w:val="false"/>
                <w:color w:val="375623"/>
                <w:sz w:val="18"/>
                <w:szCs w:val="18"/>
              </w:rPr>
              <w:t xml:space="preserve">CONFORMING</w:t>
            </w:r>
          </w:p>
        </w:tc>
        <w:tc>
          <w:tcPr>
            <w:tcW w:type="dxa" w:w="22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iCs/>
                <w:color w:val="595959"/>
                <w:sz w:val="20"/>
                <w:szCs w:val="20"/>
              </w:rPr>
              <w:t xml:space="preserve">100% landfill diversion achieved. Both contractors hold current licences and certifications. All waste streams documented and properly segregated. Pre-treatment declaration filed.</w:t>
            </w:r>
          </w:p>
        </w:tc>
      </w:tr>
      <w:tr>
        <w:tc>
          <w:tcPr>
            <w:tcW w:type="dxa" w:w="126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20" w:before="0"/>
              <w:jc w:val="left"/>
            </w:pPr>
            <w:r>
              <w:rPr>
                <w:rFonts w:ascii="Calibri" w:cs="Calibri" w:eastAsia="Calibri" w:hAnsi="Calibri"/>
                <w:b/>
                <w:bCs/>
                <w:i w:val="false"/>
                <w:iCs w:val="false"/>
                <w:color w:val="FFFFFF"/>
                <w:sz w:val="20"/>
                <w:szCs w:val="20"/>
              </w:rPr>
              <w:t xml:space="preserve">Cat. 11</w:t>
            </w:r>
          </w:p>
          <w:p>
            <w:pPr>
              <w:spacing w:after="0" w:before="0"/>
              <w:jc w:val="left"/>
            </w:pPr>
            <w:r>
              <w:rPr>
                <w:rFonts w:ascii="Calibri" w:cs="Calibri" w:eastAsia="Calibri" w:hAnsi="Calibri"/>
                <w:b w:val="false"/>
                <w:bCs w:val="false"/>
                <w:i w:val="false"/>
                <w:iCs w:val="false"/>
                <w:color w:val="BBBBBB"/>
                <w:sz w:val="17"/>
                <w:szCs w:val="17"/>
              </w:rPr>
              <w:t xml:space="preserve">Pollution Prevention</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Pollution risks identified and controlled. Emergency procedures current. Incident history clean.</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Controls and Processes registers. Fire safety certificates. Emergency procedures. Veolia pre-treatment declaration. Septic, AC and heating service records. Zero spill incidents over 24-month review period.</w:t>
            </w:r>
          </w:p>
        </w:tc>
        <w:tc>
          <w:tcPr>
            <w:tcW w:type="dxa" w:w="1100"/>
            <w:tcBorders>
              <w:top w:val="single" w:color="E2EFDA" w:sz="1"/>
              <w:left w:val="single" w:color="E2EFDA" w:sz="1"/>
              <w:bottom w:val="single" w:color="E2EFDA" w:sz="1"/>
              <w:right w:val="single" w:color="E2EFDA" w:sz="1"/>
            </w:tcBorders>
            <w:shd w:fill="E2EFDA" w:val="clear"/>
            <w:tcMar>
              <w:top w:type="dxa" w:w="100"/>
              <w:left w:type="dxa" w:w="150"/>
              <w:bottom w:type="dxa" w:w="100"/>
              <w:right w:type="dxa" w:w="150"/>
            </w:tcMar>
            <w:vAlign w:val="top"/>
          </w:tcPr>
          <w:p>
            <w:pPr>
              <w:shd w:fill="E2EFDA" w:val="clear"/>
              <w:spacing w:after="40" w:before="40"/>
              <w:jc w:val="center"/>
            </w:pPr>
            <w:r>
              <w:rPr>
                <w:rFonts w:ascii="Calibri" w:cs="Calibri" w:eastAsia="Calibri" w:hAnsi="Calibri"/>
                <w:b/>
                <w:bCs/>
                <w:i w:val="false"/>
                <w:iCs w:val="false"/>
                <w:color w:val="375623"/>
                <w:sz w:val="18"/>
                <w:szCs w:val="18"/>
              </w:rPr>
              <w:t xml:space="preserve">CONFORMING</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iCs/>
                <w:color w:val="595959"/>
                <w:sz w:val="20"/>
                <w:szCs w:val="20"/>
              </w:rPr>
              <w:t xml:space="preserve">Comprehensive pollution prevention controls in place. Emergency response procedures current. Zero spill incidents recorded over the review period. All building service records filed and current.</w:t>
            </w:r>
          </w:p>
        </w:tc>
      </w:tr>
      <w:tr>
        <w:tc>
          <w:tcPr>
            <w:tcW w:type="dxa" w:w="126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20" w:before="0"/>
              <w:jc w:val="left"/>
            </w:pPr>
            <w:r>
              <w:rPr>
                <w:rFonts w:ascii="Calibri" w:cs="Calibri" w:eastAsia="Calibri" w:hAnsi="Calibri"/>
                <w:b/>
                <w:bCs/>
                <w:i w:val="false"/>
                <w:iCs w:val="false"/>
                <w:color w:val="FFFFFF"/>
                <w:sz w:val="20"/>
                <w:szCs w:val="20"/>
              </w:rPr>
              <w:t xml:space="preserve">Cat. 12</w:t>
            </w:r>
          </w:p>
          <w:p>
            <w:pPr>
              <w:spacing w:after="0" w:before="0"/>
              <w:jc w:val="left"/>
            </w:pPr>
            <w:r>
              <w:rPr>
                <w:rFonts w:ascii="Calibri" w:cs="Calibri" w:eastAsia="Calibri" w:hAnsi="Calibri"/>
                <w:b w:val="false"/>
                <w:bCs w:val="false"/>
                <w:i w:val="false"/>
                <w:iCs w:val="false"/>
                <w:color w:val="BBBBBB"/>
                <w:sz w:val="17"/>
                <w:szCs w:val="17"/>
              </w:rPr>
              <w:t xml:space="preserve">Supply Chain
Engagement</w:t>
            </w:r>
          </w:p>
        </w:tc>
        <w:tc>
          <w:tcPr>
            <w:tcW w:type="dxa" w:w="21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Suppliers assessed for environmental performance. Proactive engagement evidenced. Certifications reviewed and on file.</w:t>
            </w:r>
          </w:p>
        </w:tc>
        <w:tc>
          <w:tcPr>
            <w:tcW w:type="dxa" w:w="27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Approved Supplier List 2025 (16 suppliers). Environmental engagement questionnaire issued to all 16 suppliers. Responses received from 13 of 16.</w:t>
            </w:r>
          </w:p>
        </w:tc>
        <w:tc>
          <w:tcPr>
            <w:tcW w:type="dxa" w:w="1100"/>
            <w:tcBorders>
              <w:top w:val="single" w:color="FFF2CC" w:sz="1"/>
              <w:left w:val="single" w:color="FFF2CC" w:sz="1"/>
              <w:bottom w:val="single" w:color="FFF2CC" w:sz="1"/>
              <w:right w:val="single" w:color="FFF2CC" w:sz="1"/>
            </w:tcBorders>
            <w:shd w:fill="FFF2CC" w:val="clear"/>
            <w:tcMar>
              <w:top w:type="dxa" w:w="100"/>
              <w:left w:type="dxa" w:w="150"/>
              <w:bottom w:type="dxa" w:w="100"/>
              <w:right w:type="dxa" w:w="150"/>
            </w:tcMar>
            <w:vAlign w:val="top"/>
          </w:tcPr>
          <w:p>
            <w:pPr>
              <w:shd w:fill="FFF2CC" w:val="clear"/>
              <w:spacing w:after="40" w:before="40"/>
              <w:jc w:val="center"/>
            </w:pPr>
            <w:r>
              <w:rPr>
                <w:rFonts w:ascii="Calibri" w:cs="Calibri" w:eastAsia="Calibri" w:hAnsi="Calibri"/>
                <w:b/>
                <w:bCs/>
                <w:i w:val="false"/>
                <w:iCs w:val="false"/>
                <w:color w:val="7F6000"/>
                <w:sz w:val="18"/>
                <w:szCs w:val="18"/>
              </w:rPr>
              <w:t xml:space="preserve">OBSERVATION</w:t>
            </w:r>
          </w:p>
        </w:tc>
        <w:tc>
          <w:tcPr>
            <w:tcW w:type="dxa" w:w="22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iCs/>
                <w:color w:val="595959"/>
                <w:sz w:val="20"/>
                <w:szCs w:val="20"/>
              </w:rPr>
              <w:t xml:space="preserve">Engagement well evidenced across 13 suppliers. Castle Tapes, CES Europe and MRTC — final chaser sent. OBS-3: Document all responses or formal non-responses as evidence of engagement.</w:t>
            </w:r>
          </w:p>
        </w:tc>
      </w:tr>
      <w:tr>
        <w:tc>
          <w:tcPr>
            <w:tcW w:type="dxa" w:w="126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20" w:before="0"/>
              <w:jc w:val="left"/>
            </w:pPr>
            <w:r>
              <w:rPr>
                <w:rFonts w:ascii="Calibri" w:cs="Calibri" w:eastAsia="Calibri" w:hAnsi="Calibri"/>
                <w:b/>
                <w:bCs/>
                <w:i w:val="false"/>
                <w:iCs w:val="false"/>
                <w:color w:val="FFFFFF"/>
                <w:sz w:val="20"/>
                <w:szCs w:val="20"/>
              </w:rPr>
              <w:t xml:space="preserve">Cat. 13</w:t>
            </w:r>
          </w:p>
          <w:p>
            <w:pPr>
              <w:spacing w:after="0" w:before="0"/>
              <w:jc w:val="left"/>
            </w:pPr>
            <w:r>
              <w:rPr>
                <w:rFonts w:ascii="Calibri" w:cs="Calibri" w:eastAsia="Calibri" w:hAnsi="Calibri"/>
                <w:b w:val="false"/>
                <w:bCs w:val="false"/>
                <w:i w:val="false"/>
                <w:iCs w:val="false"/>
                <w:color w:val="BBBBBB"/>
                <w:sz w:val="17"/>
                <w:szCs w:val="17"/>
              </w:rPr>
              <w:t xml:space="preserve">Transport</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Green transport plan developed and implemented. Logistics emissions tracked. Proactive engagement with carriers evidenced.</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Transport Log 2024 (DHL baseline established and approved). Green Transport Policy. Carbon Reduction Plan. DHL engagement initiated Q1 2026 for 2025 data.</w:t>
            </w:r>
          </w:p>
        </w:tc>
        <w:tc>
          <w:tcPr>
            <w:tcW w:type="dxa" w:w="1100"/>
            <w:tcBorders>
              <w:top w:val="single" w:color="FFF2CC" w:sz="1"/>
              <w:left w:val="single" w:color="FFF2CC" w:sz="1"/>
              <w:bottom w:val="single" w:color="FFF2CC" w:sz="1"/>
              <w:right w:val="single" w:color="FFF2CC" w:sz="1"/>
            </w:tcBorders>
            <w:shd w:fill="FFF2CC" w:val="clear"/>
            <w:tcMar>
              <w:top w:type="dxa" w:w="100"/>
              <w:left w:type="dxa" w:w="150"/>
              <w:bottom w:type="dxa" w:w="100"/>
              <w:right w:type="dxa" w:w="150"/>
            </w:tcMar>
            <w:vAlign w:val="top"/>
          </w:tcPr>
          <w:p>
            <w:pPr>
              <w:shd w:fill="FFF2CC" w:val="clear"/>
              <w:spacing w:after="40" w:before="40"/>
              <w:jc w:val="center"/>
            </w:pPr>
            <w:r>
              <w:rPr>
                <w:rFonts w:ascii="Calibri" w:cs="Calibri" w:eastAsia="Calibri" w:hAnsi="Calibri"/>
                <w:b/>
                <w:bCs/>
                <w:i w:val="false"/>
                <w:iCs w:val="false"/>
                <w:color w:val="7F6000"/>
                <w:sz w:val="18"/>
                <w:szCs w:val="18"/>
              </w:rPr>
              <w:t xml:space="preserve">OBSERVATION</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iCs/>
                <w:color w:val="595959"/>
                <w:sz w:val="20"/>
                <w:szCs w:val="20"/>
              </w:rPr>
              <w:t xml:space="preserve">2024 baseline established. Green Transport Policy and Carbon Reduction Plan in place. 2025 active log initiated — DHL contacted. OBS-4: Complete 2025 log and begin active recording April 2026.</w:t>
            </w:r>
          </w:p>
        </w:tc>
      </w:tr>
      <w:tr>
        <w:tc>
          <w:tcPr>
            <w:tcW w:type="dxa" w:w="126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20" w:before="0"/>
              <w:jc w:val="left"/>
            </w:pPr>
            <w:r>
              <w:rPr>
                <w:rFonts w:ascii="Calibri" w:cs="Calibri" w:eastAsia="Calibri" w:hAnsi="Calibri"/>
                <w:b/>
                <w:bCs/>
                <w:i w:val="false"/>
                <w:iCs w:val="false"/>
                <w:color w:val="FFFFFF"/>
                <w:sz w:val="20"/>
                <w:szCs w:val="20"/>
              </w:rPr>
              <w:t xml:space="preserve">Cat. 14</w:t>
            </w:r>
          </w:p>
          <w:p>
            <w:pPr>
              <w:spacing w:after="0" w:before="0"/>
              <w:jc w:val="left"/>
            </w:pPr>
            <w:r>
              <w:rPr>
                <w:rFonts w:ascii="Calibri" w:cs="Calibri" w:eastAsia="Calibri" w:hAnsi="Calibri"/>
                <w:b w:val="false"/>
                <w:bCs w:val="false"/>
                <w:i w:val="false"/>
                <w:iCs w:val="false"/>
                <w:color w:val="BBBBBB"/>
                <w:sz w:val="17"/>
                <w:szCs w:val="17"/>
              </w:rPr>
              <w:t xml:space="preserve">Biodiversity</w:t>
            </w:r>
          </w:p>
        </w:tc>
        <w:tc>
          <w:tcPr>
            <w:tcW w:type="dxa" w:w="21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Biodiversity impacts formally assessed. Long-term habitat protection plan developed with qualified expertise.</w:t>
            </w:r>
          </w:p>
        </w:tc>
        <w:tc>
          <w:tcPr>
            <w:tcW w:type="dxa" w:w="27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Biodiversity Survey (conducted with qualified ecologist). Long-term Habitat Protection Plan. Aspects Register (biodiversity aspect documented and assessed).</w:t>
            </w:r>
          </w:p>
        </w:tc>
        <w:tc>
          <w:tcPr>
            <w:tcW w:type="dxa" w:w="1100"/>
            <w:tcBorders>
              <w:top w:val="single" w:color="E2EFDA" w:sz="1"/>
              <w:left w:val="single" w:color="E2EFDA" w:sz="1"/>
              <w:bottom w:val="single" w:color="E2EFDA" w:sz="1"/>
              <w:right w:val="single" w:color="E2EFDA" w:sz="1"/>
            </w:tcBorders>
            <w:shd w:fill="E2EFDA" w:val="clear"/>
            <w:tcMar>
              <w:top w:type="dxa" w:w="100"/>
              <w:left w:type="dxa" w:w="150"/>
              <w:bottom w:type="dxa" w:w="100"/>
              <w:right w:type="dxa" w:w="150"/>
            </w:tcMar>
            <w:vAlign w:val="top"/>
          </w:tcPr>
          <w:p>
            <w:pPr>
              <w:shd w:fill="E2EFDA" w:val="clear"/>
              <w:spacing w:after="40" w:before="40"/>
              <w:jc w:val="center"/>
            </w:pPr>
            <w:r>
              <w:rPr>
                <w:rFonts w:ascii="Calibri" w:cs="Calibri" w:eastAsia="Calibri" w:hAnsi="Calibri"/>
                <w:b/>
                <w:bCs/>
                <w:i w:val="false"/>
                <w:iCs w:val="false"/>
                <w:color w:val="375623"/>
                <w:sz w:val="18"/>
                <w:szCs w:val="18"/>
              </w:rPr>
              <w:t xml:space="preserve">CONFORMING</w:t>
            </w:r>
          </w:p>
        </w:tc>
        <w:tc>
          <w:tcPr>
            <w:tcW w:type="dxa" w:w="22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iCs/>
                <w:color w:val="595959"/>
                <w:sz w:val="20"/>
                <w:szCs w:val="20"/>
              </w:rPr>
              <w:t xml:space="preserve">Survey and protection plan completed with qualified ecologist — meets FIA 3-Star requirement. Habitat protection commitments formalised. Biodiversity objective included in Objectives Register.</w:t>
            </w:r>
          </w:p>
        </w:tc>
      </w:tr>
      <w:tr>
        <w:tc>
          <w:tcPr>
            <w:tcW w:type="dxa" w:w="126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20" w:before="0"/>
              <w:jc w:val="left"/>
            </w:pPr>
            <w:r>
              <w:rPr>
                <w:rFonts w:ascii="Calibri" w:cs="Calibri" w:eastAsia="Calibri" w:hAnsi="Calibri"/>
                <w:b/>
                <w:bCs/>
                <w:i w:val="false"/>
                <w:iCs w:val="false"/>
                <w:color w:val="FFFFFF"/>
                <w:sz w:val="20"/>
                <w:szCs w:val="20"/>
              </w:rPr>
              <w:t xml:space="preserve">Cat. 15</w:t>
            </w:r>
          </w:p>
          <w:p>
            <w:pPr>
              <w:spacing w:after="0" w:before="0"/>
              <w:jc w:val="left"/>
            </w:pPr>
            <w:r>
              <w:rPr>
                <w:rFonts w:ascii="Calibri" w:cs="Calibri" w:eastAsia="Calibri" w:hAnsi="Calibri"/>
                <w:b w:val="false"/>
                <w:bCs w:val="false"/>
                <w:i w:val="false"/>
                <w:iCs w:val="false"/>
                <w:color w:val="BBBBBB"/>
                <w:sz w:val="17"/>
                <w:szCs w:val="17"/>
              </w:rPr>
              <w:t xml:space="preserve">Noise</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Noise impacts assessed for applicability. Controls in place where relevant to site operations.</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Environmental Scope Assessment v1.0 (March 2026) — documents Cat. 15 applicability assessment and rationale.</w:t>
            </w:r>
          </w:p>
        </w:tc>
        <w:tc>
          <w:tcPr>
            <w:tcW w:type="dxa" w:w="1100"/>
            <w:tcBorders>
              <w:top w:val="single" w:color="E2EFDA" w:sz="1"/>
              <w:left w:val="single" w:color="E2EFDA" w:sz="1"/>
              <w:bottom w:val="single" w:color="E2EFDA" w:sz="1"/>
              <w:right w:val="single" w:color="E2EFDA" w:sz="1"/>
            </w:tcBorders>
            <w:shd w:fill="E2EFDA" w:val="clear"/>
            <w:tcMar>
              <w:top w:type="dxa" w:w="100"/>
              <w:left w:type="dxa" w:w="150"/>
              <w:bottom w:type="dxa" w:w="100"/>
              <w:right w:type="dxa" w:w="150"/>
            </w:tcMar>
            <w:vAlign w:val="top"/>
          </w:tcPr>
          <w:p>
            <w:pPr>
              <w:shd w:fill="E2EFDA" w:val="clear"/>
              <w:spacing w:after="40" w:before="40"/>
              <w:jc w:val="center"/>
            </w:pPr>
            <w:r>
              <w:rPr>
                <w:rFonts w:ascii="Calibri" w:cs="Calibri" w:eastAsia="Calibri" w:hAnsi="Calibri"/>
                <w:b/>
                <w:bCs/>
                <w:i w:val="false"/>
                <w:iCs w:val="false"/>
                <w:color w:val="375623"/>
                <w:sz w:val="18"/>
                <w:szCs w:val="18"/>
              </w:rPr>
              <w:t xml:space="preserve">CONFORMING</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iCs/>
                <w:color w:val="595959"/>
                <w:sz w:val="20"/>
                <w:szCs w:val="20"/>
              </w:rPr>
              <w:t xml:space="preserve">Formal applicability assessment completed. Scope assessment justifies approach. No material noise impacts identified as requiring active monitoring at current operational scale.</w:t>
            </w:r>
          </w:p>
        </w:tc>
      </w:tr>
      <w:tr>
        <w:tc>
          <w:tcPr>
            <w:tcW w:type="dxa" w:w="126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20" w:before="0"/>
              <w:jc w:val="left"/>
            </w:pPr>
            <w:r>
              <w:rPr>
                <w:rFonts w:ascii="Calibri" w:cs="Calibri" w:eastAsia="Calibri" w:hAnsi="Calibri"/>
                <w:b/>
                <w:bCs/>
                <w:i w:val="false"/>
                <w:iCs w:val="false"/>
                <w:color w:val="FFFFFF"/>
                <w:sz w:val="20"/>
                <w:szCs w:val="20"/>
              </w:rPr>
              <w:t xml:space="preserve">Cat. 16</w:t>
            </w:r>
          </w:p>
          <w:p>
            <w:pPr>
              <w:spacing w:after="0" w:before="0"/>
              <w:jc w:val="left"/>
            </w:pPr>
            <w:r>
              <w:rPr>
                <w:rFonts w:ascii="Calibri" w:cs="Calibri" w:eastAsia="Calibri" w:hAnsi="Calibri"/>
                <w:b w:val="false"/>
                <w:bCs w:val="false"/>
                <w:i w:val="false"/>
                <w:iCs w:val="false"/>
                <w:color w:val="BBBBBB"/>
                <w:sz w:val="17"/>
                <w:szCs w:val="17"/>
              </w:rPr>
              <w:t xml:space="preserve">Air Quality</w:t>
            </w:r>
          </w:p>
        </w:tc>
        <w:tc>
          <w:tcPr>
            <w:tcW w:type="dxa" w:w="21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Air quality impacts assessed for applicability. Controls documented where relevant.</w:t>
            </w:r>
          </w:p>
        </w:tc>
        <w:tc>
          <w:tcPr>
            <w:tcW w:type="dxa" w:w="27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Environmental Scope Assessment v1.0 (March 2026) — covers Cat. 16 applicability and environmental feedback log.</w:t>
            </w:r>
          </w:p>
        </w:tc>
        <w:tc>
          <w:tcPr>
            <w:tcW w:type="dxa" w:w="1100"/>
            <w:tcBorders>
              <w:top w:val="single" w:color="E2EFDA" w:sz="1"/>
              <w:left w:val="single" w:color="E2EFDA" w:sz="1"/>
              <w:bottom w:val="single" w:color="E2EFDA" w:sz="1"/>
              <w:right w:val="single" w:color="E2EFDA" w:sz="1"/>
            </w:tcBorders>
            <w:shd w:fill="E2EFDA" w:val="clear"/>
            <w:tcMar>
              <w:top w:type="dxa" w:w="100"/>
              <w:left w:type="dxa" w:w="150"/>
              <w:bottom w:type="dxa" w:w="100"/>
              <w:right w:type="dxa" w:w="150"/>
            </w:tcMar>
            <w:vAlign w:val="top"/>
          </w:tcPr>
          <w:p>
            <w:pPr>
              <w:shd w:fill="E2EFDA" w:val="clear"/>
              <w:spacing w:after="40" w:before="40"/>
              <w:jc w:val="center"/>
            </w:pPr>
            <w:r>
              <w:rPr>
                <w:rFonts w:ascii="Calibri" w:cs="Calibri" w:eastAsia="Calibri" w:hAnsi="Calibri"/>
                <w:b/>
                <w:bCs/>
                <w:i w:val="false"/>
                <w:iCs w:val="false"/>
                <w:color w:val="375623"/>
                <w:sz w:val="18"/>
                <w:szCs w:val="18"/>
              </w:rPr>
              <w:t xml:space="preserve">CONFORMING</w:t>
            </w:r>
          </w:p>
        </w:tc>
        <w:tc>
          <w:tcPr>
            <w:tcW w:type="dxa" w:w="22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iCs/>
                <w:color w:val="595959"/>
                <w:sz w:val="20"/>
                <w:szCs w:val="20"/>
              </w:rPr>
              <w:t xml:space="preserve">Formal applicability assessment completed. Air quality monitored in conjunction with fuel and transport emissions under Cat. 8 and 17. Scope assessment rationale documented.</w:t>
            </w:r>
          </w:p>
        </w:tc>
      </w:tr>
      <w:tr>
        <w:tc>
          <w:tcPr>
            <w:tcW w:type="dxa" w:w="126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20" w:before="0"/>
              <w:jc w:val="left"/>
            </w:pPr>
            <w:r>
              <w:rPr>
                <w:rFonts w:ascii="Calibri" w:cs="Calibri" w:eastAsia="Calibri" w:hAnsi="Calibri"/>
                <w:b/>
                <w:bCs/>
                <w:i w:val="false"/>
                <w:iCs w:val="false"/>
                <w:color w:val="FFFFFF"/>
                <w:sz w:val="20"/>
                <w:szCs w:val="20"/>
              </w:rPr>
              <w:t xml:space="preserve">Cat. 17</w:t>
            </w:r>
          </w:p>
          <w:p>
            <w:pPr>
              <w:spacing w:after="0" w:before="0"/>
              <w:jc w:val="left"/>
            </w:pPr>
            <w:r>
              <w:rPr>
                <w:rFonts w:ascii="Calibri" w:cs="Calibri" w:eastAsia="Calibri" w:hAnsi="Calibri"/>
                <w:b w:val="false"/>
                <w:bCs w:val="false"/>
                <w:i w:val="false"/>
                <w:iCs w:val="false"/>
                <w:color w:val="BBBBBB"/>
                <w:sz w:val="17"/>
                <w:szCs w:val="17"/>
              </w:rPr>
              <w:t xml:space="preserve">Carbon &amp; GHG
Emissions</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Scope 1, 2 and 3 emissions quantified using recognised methodology. Carbon reduction plan in place and being implemented.</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VSME Carbon Footprint Report 2024 (approved T. Rocker, 25 Mar 2026). GHG Protocol methodology with DEFRA 2024 emission factors. Scope 3 Exclusion Methodology document. 5-Year Carbon Reduction Plan.</w:t>
            </w:r>
          </w:p>
        </w:tc>
        <w:tc>
          <w:tcPr>
            <w:tcW w:type="dxa" w:w="1100"/>
            <w:tcBorders>
              <w:top w:val="single" w:color="E2EFDA" w:sz="1"/>
              <w:left w:val="single" w:color="E2EFDA" w:sz="1"/>
              <w:bottom w:val="single" w:color="E2EFDA" w:sz="1"/>
              <w:right w:val="single" w:color="E2EFDA" w:sz="1"/>
            </w:tcBorders>
            <w:shd w:fill="E2EFDA" w:val="clear"/>
            <w:tcMar>
              <w:top w:type="dxa" w:w="100"/>
              <w:left w:type="dxa" w:w="150"/>
              <w:bottom w:type="dxa" w:w="100"/>
              <w:right w:type="dxa" w:w="150"/>
            </w:tcMar>
            <w:vAlign w:val="top"/>
          </w:tcPr>
          <w:p>
            <w:pPr>
              <w:shd w:fill="E2EFDA" w:val="clear"/>
              <w:spacing w:after="40" w:before="40"/>
              <w:jc w:val="center"/>
            </w:pPr>
            <w:r>
              <w:rPr>
                <w:rFonts w:ascii="Calibri" w:cs="Calibri" w:eastAsia="Calibri" w:hAnsi="Calibri"/>
                <w:b/>
                <w:bCs/>
                <w:i w:val="false"/>
                <w:iCs w:val="false"/>
                <w:color w:val="375623"/>
                <w:sz w:val="18"/>
                <w:szCs w:val="18"/>
              </w:rPr>
              <w:t xml:space="preserve">CONFORMING</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iCs/>
                <w:color w:val="595959"/>
                <w:sz w:val="20"/>
                <w:szCs w:val="20"/>
              </w:rPr>
              <w:t xml:space="preserve">Total 2024: 2,005.72 tCO2e (Scope 1: 28.09 / Scope 2: 0.00 market-based / Scope 3: 1,977.63). Scope 3 boundaries and exclusions formally documented. 5-year reduction plan approved and in place.</w:t>
            </w:r>
          </w:p>
        </w:tc>
      </w:tr>
    </w:tbl>
    <w:p>
      <w:pPr>
        <w:spacing w:after="0" w:before="160"/>
      </w:pPr>
      <w:r>
        <w:rPr>
          <w:rFonts w:ascii="Calibri" w:cs="Calibri" w:eastAsia="Calibri" w:hAnsi="Calibri"/>
          <w:b w:val="false"/>
          <w:bCs w:val="false"/>
          <w:i w:val="false"/>
          <w:iCs w:val="false"/>
          <w:color w:val="000000"/>
          <w:sz w:val="22"/>
          <w:szCs w:val="22"/>
        </w:rPr>
        <w:t xml:space="preserve"/>
      </w:r>
    </w:p>
    <w:p>
      <w:pPr>
        <w:pageBreakBefore/>
      </w:pPr>
      <w:r>
        <w:rPr>
          <w:rFonts w:ascii="Calibri" w:cs="Calibri" w:eastAsia="Calibri" w:hAnsi="Calibri"/>
          <w:b w:val="false"/>
          <w:bCs w:val="false"/>
          <w:i w:val="false"/>
          <w:iCs w:val="false"/>
          <w:color w:val="000000"/>
          <w:sz w:val="22"/>
          <w:szCs w:val="22"/>
        </w:rPr>
        <w:t xml:space="preserve"/>
      </w:r>
    </w:p>
    <w:p>
      <w:pPr>
        <w:pBdr>
          <w:bottom w:val="single" w:color="E10600" w:sz="12" w:space="4"/>
        </w:pBdr>
        <w:spacing w:after="100" w:before="280"/>
      </w:pPr>
      <w:r>
        <w:rPr>
          <w:rFonts w:ascii="Calibri" w:cs="Calibri" w:eastAsia="Calibri" w:hAnsi="Calibri"/>
          <w:b/>
          <w:bCs/>
          <w:i w:val="false"/>
          <w:iCs w:val="false"/>
          <w:color w:val="1A1C2A"/>
          <w:sz w:val="28"/>
          <w:szCs w:val="28"/>
        </w:rPr>
        <w:t xml:space="preserve">4.  Corrective Action Plan</w:t>
      </w:r>
    </w:p>
    <w:p>
      <w:pPr>
        <w:spacing w:after="80" w:before="0"/>
        <w:jc w:val="left"/>
      </w:pPr>
      <w:r>
        <w:rPr>
          <w:rFonts w:ascii="Calibri" w:cs="Calibri" w:eastAsia="Calibri" w:hAnsi="Calibri"/>
          <w:b w:val="false"/>
          <w:bCs w:val="false"/>
          <w:i w:val="false"/>
          <w:iCs w:val="false"/>
          <w:color w:val="000000"/>
          <w:sz w:val="22"/>
          <w:szCs w:val="22"/>
        </w:rPr>
        <w:t xml:space="preserve">No formal non-conformances were identified during this audit. The following actions are required to close out the five observations noted in Section 3. All actions must be completed and evidenced prior to the FIA on-site audit.</w:t>
      </w:r>
    </w:p>
    <w:p>
      <w:pPr>
        <w:spacing w:after="0" w:before="80"/>
      </w:pPr>
      <w:r>
        <w:rPr>
          <w:rFonts w:ascii="Calibri" w:cs="Calibri" w:eastAsia="Calibri" w:hAnsi="Calibri"/>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4040"/>
        <w:gridCol w:w="2200"/>
        <w:gridCol w:w="2400"/>
      </w:tblGrid>
      <w:tr>
        <w:trPr>
          <w:tblHeader/>
        </w:trPr>
        <w:tc>
          <w:tcPr>
            <w:tcW w:type="dxa" w:w="72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Ref</w:t>
            </w:r>
          </w:p>
        </w:tc>
        <w:tc>
          <w:tcPr>
            <w:tcW w:type="dxa" w:w="404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Required Action</w:t>
            </w:r>
          </w:p>
        </w:tc>
        <w:tc>
          <w:tcPr>
            <w:tcW w:type="dxa" w:w="220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Responsible</w:t>
            </w:r>
          </w:p>
        </w:tc>
        <w:tc>
          <w:tcPr>
            <w:tcW w:type="dxa" w:w="240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Target</w:t>
            </w:r>
          </w:p>
        </w:tc>
      </w:tr>
      <w:tr>
        <w:tc>
          <w:tcPr>
            <w:tcW w:type="dxa" w:w="72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OBS-1</w:t>
            </w:r>
          </w:p>
        </w:tc>
        <w:tc>
          <w:tcPr>
            <w:tcW w:type="dxa" w:w="404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Confirm Environmental Policy published on JOTA website. Record the URL as external availability evidence in the EMS Manual.</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T. Rocker / Comms Team</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000000"/>
                <w:sz w:val="22"/>
                <w:szCs w:val="22"/>
              </w:rPr>
              <w:t xml:space="preserve">Before on-site audit</w:t>
            </w:r>
          </w:p>
        </w:tc>
      </w:tr>
      <w:tr>
        <w:tc>
          <w:tcPr>
            <w:tcW w:type="dxa" w:w="72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OBS-2</w:t>
            </w:r>
          </w:p>
        </w:tc>
        <w:tc>
          <w:tcPr>
            <w:tcW w:type="dxa" w:w="404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Obtain Q1 2026 water consumption data from landlord facility management. Update Meter Readings register accordingly.</w:t>
            </w:r>
          </w:p>
        </w:tc>
        <w:tc>
          <w:tcPr>
            <w:tcW w:type="dxa" w:w="22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T. Rocker</w:t>
            </w:r>
          </w:p>
        </w:tc>
        <w:tc>
          <w:tcPr>
            <w:tcW w:type="dxa" w:w="24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000000"/>
                <w:sz w:val="22"/>
                <w:szCs w:val="22"/>
              </w:rPr>
              <w:t xml:space="preserve">Before on-site audit</w:t>
            </w:r>
          </w:p>
        </w:tc>
      </w:tr>
      <w:tr>
        <w:tc>
          <w:tcPr>
            <w:tcW w:type="dxa" w:w="72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OBS-3</w:t>
            </w:r>
          </w:p>
        </w:tc>
        <w:tc>
          <w:tcPr>
            <w:tcW w:type="dxa" w:w="404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Send final follow-up to Castle Tapes, CES Europe and MRTC. Document all responses or formal non-responses in supplier engagement record.</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Procurement / T. Rocker</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000000"/>
                <w:sz w:val="22"/>
                <w:szCs w:val="22"/>
              </w:rPr>
              <w:t xml:space="preserve">Before on-site audit</w:t>
            </w:r>
          </w:p>
        </w:tc>
      </w:tr>
      <w:tr>
        <w:tc>
          <w:tcPr>
            <w:tcW w:type="dxa" w:w="72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OBS-4</w:t>
            </w:r>
          </w:p>
        </w:tc>
        <w:tc>
          <w:tcPr>
            <w:tcW w:type="dxa" w:w="404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Obtain DHL Q1–Q2 2025 shipment data. Open 2025 Transport Log and begin active recording from April 2026 onwards.</w:t>
            </w:r>
          </w:p>
        </w:tc>
        <w:tc>
          <w:tcPr>
            <w:tcW w:type="dxa" w:w="22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Supply Chain / T. Rocker</w:t>
            </w:r>
          </w:p>
        </w:tc>
        <w:tc>
          <w:tcPr>
            <w:tcW w:type="dxa" w:w="2400"/>
            <w:tcBorders>
              <w:top w:val="single" w:color="F7F7F7" w:sz="1"/>
              <w:left w:val="single" w:color="F7F7F7" w:sz="1"/>
              <w:bottom w:val="single" w:color="F7F7F7" w:sz="1"/>
              <w:right w:val="single" w:color="F7F7F7" w:sz="1"/>
            </w:tcBorders>
            <w:shd w:fill="F7F7F7"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000000"/>
                <w:sz w:val="22"/>
                <w:szCs w:val="22"/>
              </w:rPr>
              <w:t xml:space="preserve">Before on-site audit</w:t>
            </w:r>
          </w:p>
        </w:tc>
      </w:tr>
      <w:tr>
        <w:tc>
          <w:tcPr>
            <w:tcW w:type="dxa" w:w="72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OBS-5</w:t>
            </w:r>
          </w:p>
        </w:tc>
        <w:tc>
          <w:tcPr>
            <w:tcW w:type="dxa" w:w="404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File this signed Internal EMS Audit Report in the evidence pack. Reference in EMS Manual under internal audit records section.</w:t>
            </w:r>
          </w:p>
        </w:tc>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2"/>
                <w:szCs w:val="22"/>
              </w:rPr>
              <w:t xml:space="preserve">T. Rocker</w:t>
            </w:r>
          </w:p>
        </w:tc>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000000"/>
                <w:sz w:val="22"/>
                <w:szCs w:val="22"/>
              </w:rPr>
              <w:t xml:space="preserve">On completion</w:t>
            </w:r>
          </w:p>
        </w:tc>
      </w:tr>
    </w:tbl>
    <w:p>
      <w:pPr>
        <w:spacing w:after="0" w:before="80"/>
      </w:pPr>
      <w:r>
        <w:rPr>
          <w:rFonts w:ascii="Calibri" w:cs="Calibri" w:eastAsia="Calibri" w:hAnsi="Calibri"/>
          <w:b w:val="false"/>
          <w:bCs w:val="false"/>
          <w:i w:val="false"/>
          <w:iCs w:val="false"/>
          <w:color w:val="000000"/>
          <w:sz w:val="22"/>
          <w:szCs w:val="22"/>
        </w:rPr>
        <w:t xml:space="preserve"/>
      </w:r>
    </w:p>
    <w:p>
      <w:pPr>
        <w:spacing w:after="80" w:before="0"/>
        <w:jc w:val="left"/>
      </w:pPr>
      <w:r>
        <w:rPr>
          <w:rFonts w:ascii="Calibri" w:cs="Calibri" w:eastAsia="Calibri" w:hAnsi="Calibri"/>
          <w:b w:val="false"/>
          <w:bCs w:val="false"/>
          <w:i/>
          <w:iCs/>
          <w:color w:val="595959"/>
          <w:sz w:val="22"/>
          <w:szCs w:val="22"/>
        </w:rPr>
        <w:t xml:space="preserve">Progress against these actions is to be monitored by Timothy Rocker. Evidence of close-out is to be retained in the audit evidence pack and referenced in the EMS Manual under internal audit records.</w:t>
      </w:r>
    </w:p>
    <w:p>
      <w:pPr>
        <w:spacing w:after="0" w:before="160"/>
      </w:pPr>
      <w:r>
        <w:rPr>
          <w:rFonts w:ascii="Calibri" w:cs="Calibri" w:eastAsia="Calibri" w:hAnsi="Calibri"/>
          <w:b w:val="false"/>
          <w:bCs w:val="false"/>
          <w:i w:val="false"/>
          <w:iCs w:val="false"/>
          <w:color w:val="000000"/>
          <w:sz w:val="22"/>
          <w:szCs w:val="22"/>
        </w:rPr>
        <w:t xml:space="preserve"/>
      </w:r>
    </w:p>
    <w:p>
      <w:pPr>
        <w:pBdr>
          <w:bottom w:val="single" w:color="E10600" w:sz="12" w:space="4"/>
        </w:pBdr>
        <w:spacing w:after="100" w:before="280"/>
      </w:pPr>
      <w:r>
        <w:rPr>
          <w:rFonts w:ascii="Calibri" w:cs="Calibri" w:eastAsia="Calibri" w:hAnsi="Calibri"/>
          <w:b/>
          <w:bCs/>
          <w:i w:val="false"/>
          <w:iCs w:val="false"/>
          <w:color w:val="1A1C2A"/>
          <w:sz w:val="28"/>
          <w:szCs w:val="28"/>
        </w:rPr>
        <w:t xml:space="preserve">5.  Overall Conclusion &amp; Recommendation</w:t>
      </w:r>
    </w:p>
    <w:p>
      <w:pPr>
        <w:spacing w:after="80" w:before="0"/>
        <w:jc w:val="left"/>
      </w:pPr>
      <w:r>
        <w:rPr>
          <w:rFonts w:ascii="Calibri" w:cs="Calibri" w:eastAsia="Calibri" w:hAnsi="Calibri"/>
          <w:b w:val="false"/>
          <w:bCs w:val="false"/>
          <w:i w:val="false"/>
          <w:iCs w:val="false"/>
          <w:color w:val="000000"/>
          <w:sz w:val="22"/>
          <w:szCs w:val="22"/>
        </w:rPr>
        <w:t xml:space="preserve">Based on the evidence reviewed during this internal audit, Cadillac Hertz Team JOTA's Environmental Management System is assessed as being effectively implemented, maintained and compliant with the requirements of the FIA Environmental Accreditation Programme at 3-Star level.</w:t>
      </w:r>
    </w:p>
    <w:p>
      <w:pPr>
        <w:spacing w:after="0" w:before="80"/>
      </w:pPr>
      <w:r>
        <w:rPr>
          <w:rFonts w:ascii="Calibri" w:cs="Calibri" w:eastAsia="Calibri" w:hAnsi="Calibri"/>
          <w:b w:val="false"/>
          <w:bCs w:val="false"/>
          <w:i w:val="false"/>
          <w:iCs w:val="false"/>
          <w:color w:val="000000"/>
          <w:sz w:val="22"/>
          <w:szCs w:val="22"/>
        </w:rPr>
        <w:t xml:space="preserve"/>
      </w:r>
    </w:p>
    <w:p>
      <w:pPr>
        <w:spacing w:after="80" w:before="0"/>
        <w:jc w:val="left"/>
      </w:pPr>
      <w:r>
        <w:rPr>
          <w:rFonts w:ascii="Calibri" w:cs="Calibri" w:eastAsia="Calibri" w:hAnsi="Calibri"/>
          <w:b w:val="false"/>
          <w:bCs w:val="false"/>
          <w:i w:val="false"/>
          <w:iCs w:val="false"/>
          <w:color w:val="000000"/>
          <w:sz w:val="22"/>
          <w:szCs w:val="22"/>
        </w:rPr>
        <w:t xml:space="preserve">The audit confirms the following key strengths:</w:t>
      </w:r>
    </w:p>
    <w:p>
      <w:pPr>
        <w:pStyle w:val="ListParagraph"/>
        <w:numPr>
          <w:ilvl w:val="0"/>
          <w:numId w:val="3"/>
        </w:numPr>
        <w:spacing w:after="40" w:before="40"/>
      </w:pPr>
      <w:r>
        <w:rPr>
          <w:rFonts w:ascii="Calibri" w:cs="Calibri" w:eastAsia="Calibri" w:hAnsi="Calibri"/>
          <w:b w:val="false"/>
          <w:bCs w:val="false"/>
          <w:i w:val="false"/>
          <w:iCs w:val="false"/>
          <w:color w:val="000000"/>
          <w:sz w:val="22"/>
          <w:szCs w:val="22"/>
        </w:rPr>
        <w:t xml:space="preserve">Strong senior management commitment evidenced by a signed Management Review and signed Environmental Policy v2.0.</w:t>
      </w:r>
    </w:p>
    <w:p>
      <w:pPr>
        <w:pStyle w:val="ListParagraph"/>
        <w:numPr>
          <w:ilvl w:val="0"/>
          <w:numId w:val="3"/>
        </w:numPr>
        <w:spacing w:after="40" w:before="40"/>
      </w:pPr>
      <w:r>
        <w:rPr>
          <w:rFonts w:ascii="Calibri" w:cs="Calibri" w:eastAsia="Calibri" w:hAnsi="Calibri"/>
          <w:b w:val="false"/>
          <w:bCs w:val="false"/>
          <w:i w:val="false"/>
          <w:iCs w:val="false"/>
          <w:color w:val="000000"/>
          <w:sz w:val="22"/>
          <w:szCs w:val="22"/>
        </w:rPr>
        <w:t xml:space="preserve">Comprehensive carbon accounting (2,005.72 tCO₂e) using GHG Protocol methodology with full Scope 1, 2 and 3 coverage.</w:t>
      </w:r>
    </w:p>
    <w:p>
      <w:pPr>
        <w:pStyle w:val="ListParagraph"/>
        <w:numPr>
          <w:ilvl w:val="0"/>
          <w:numId w:val="3"/>
        </w:numPr>
        <w:spacing w:after="40" w:before="40"/>
      </w:pPr>
      <w:r>
        <w:rPr>
          <w:rFonts w:ascii="Calibri" w:cs="Calibri" w:eastAsia="Calibri" w:hAnsi="Calibri"/>
          <w:b w:val="false"/>
          <w:bCs w:val="false"/>
          <w:i w:val="false"/>
          <w:iCs w:val="false"/>
          <w:color w:val="000000"/>
          <w:sz w:val="22"/>
          <w:szCs w:val="22"/>
        </w:rPr>
        <w:t xml:space="preserve">100% landfill diversion achieved and zero spill incidents recorded over the 24-month review period.</w:t>
      </w:r>
    </w:p>
    <w:p>
      <w:pPr>
        <w:pStyle w:val="ListParagraph"/>
        <w:numPr>
          <w:ilvl w:val="0"/>
          <w:numId w:val="3"/>
        </w:numPr>
        <w:spacing w:after="40" w:before="40"/>
      </w:pPr>
      <w:r>
        <w:rPr>
          <w:rFonts w:ascii="Calibri" w:cs="Calibri" w:eastAsia="Calibri" w:hAnsi="Calibri"/>
          <w:b w:val="false"/>
          <w:bCs w:val="false"/>
          <w:i w:val="false"/>
          <w:iCs w:val="false"/>
          <w:color w:val="000000"/>
          <w:sz w:val="22"/>
          <w:szCs w:val="22"/>
        </w:rPr>
        <w:t xml:space="preserve">Renewable energy installation (15kW solar) delivering zero market-based Scope 2 emissions.</w:t>
      </w:r>
    </w:p>
    <w:p>
      <w:pPr>
        <w:pStyle w:val="ListParagraph"/>
        <w:numPr>
          <w:ilvl w:val="0"/>
          <w:numId w:val="3"/>
        </w:numPr>
        <w:spacing w:after="40" w:before="40"/>
      </w:pPr>
      <w:r>
        <w:rPr>
          <w:rFonts w:ascii="Calibri" w:cs="Calibri" w:eastAsia="Calibri" w:hAnsi="Calibri"/>
          <w:b w:val="false"/>
          <w:bCs w:val="false"/>
          <w:i w:val="false"/>
          <w:iCs w:val="false"/>
          <w:color w:val="000000"/>
          <w:sz w:val="22"/>
          <w:szCs w:val="22"/>
        </w:rPr>
        <w:t xml:space="preserve">Full staff awareness confirmed — all 18 team members acknowledged receipt and understanding of Environmental Policy v2.0.</w:t>
      </w:r>
    </w:p>
    <w:p>
      <w:pPr>
        <w:pStyle w:val="ListParagraph"/>
        <w:numPr>
          <w:ilvl w:val="0"/>
          <w:numId w:val="3"/>
        </w:numPr>
        <w:spacing w:after="40" w:before="40"/>
      </w:pPr>
      <w:r>
        <w:rPr>
          <w:rFonts w:ascii="Calibri" w:cs="Calibri" w:eastAsia="Calibri" w:hAnsi="Calibri"/>
          <w:b w:val="false"/>
          <w:bCs w:val="false"/>
          <w:i w:val="false"/>
          <w:iCs w:val="false"/>
          <w:color w:val="000000"/>
          <w:sz w:val="22"/>
          <w:szCs w:val="22"/>
        </w:rPr>
        <w:t xml:space="preserve">Biodiversity protection plan developed with a qualified ecologist, meeting the FIA 3-Star requirement.</w:t>
      </w:r>
    </w:p>
    <w:p>
      <w:pPr>
        <w:pStyle w:val="ListParagraph"/>
        <w:numPr>
          <w:ilvl w:val="0"/>
          <w:numId w:val="3"/>
        </w:numPr>
        <w:spacing w:after="40" w:before="40"/>
      </w:pPr>
      <w:r>
        <w:rPr>
          <w:rFonts w:ascii="Calibri" w:cs="Calibri" w:eastAsia="Calibri" w:hAnsi="Calibri"/>
          <w:b w:val="false"/>
          <w:bCs w:val="false"/>
          <w:i w:val="false"/>
          <w:iCs w:val="false"/>
          <w:color w:val="000000"/>
          <w:sz w:val="22"/>
          <w:szCs w:val="22"/>
        </w:rPr>
        <w:t xml:space="preserve">57 legal obligations formally identified and managed within the Legal Register.</w:t>
      </w:r>
    </w:p>
    <w:p>
      <w:pPr>
        <w:spacing w:after="0" w:before="80"/>
      </w:pPr>
      <w:r>
        <w:rPr>
          <w:rFonts w:ascii="Calibri" w:cs="Calibri" w:eastAsia="Calibri" w:hAnsi="Calibri"/>
          <w:b w:val="false"/>
          <w:bCs w:val="false"/>
          <w:i w:val="false"/>
          <w:iCs w:val="false"/>
          <w:color w:val="000000"/>
          <w:sz w:val="22"/>
          <w:szCs w:val="22"/>
        </w:rPr>
        <w:t xml:space="preserve"/>
      </w:r>
    </w:p>
    <w:p>
      <w:pPr>
        <w:spacing w:after="80" w:before="0"/>
        <w:jc w:val="left"/>
      </w:pPr>
      <w:r>
        <w:rPr>
          <w:rFonts w:ascii="Calibri" w:cs="Calibri" w:eastAsia="Calibri" w:hAnsi="Calibri"/>
          <w:b/>
          <w:bCs/>
          <w:i w:val="false"/>
          <w:iCs w:val="false"/>
          <w:color w:val="000000"/>
          <w:sz w:val="22"/>
          <w:szCs w:val="22"/>
        </w:rPr>
        <w:t xml:space="preserve">Recommendation: </w:t>
      </w:r>
      <w:r>
        <w:rPr>
          <w:rFonts w:ascii="Calibri" w:cs="Calibri" w:eastAsia="Calibri" w:hAnsi="Calibri"/>
          <w:b w:val="false"/>
          <w:bCs w:val="false"/>
          <w:i w:val="false"/>
          <w:iCs w:val="false"/>
          <w:color w:val="000000"/>
          <w:sz w:val="22"/>
          <w:szCs w:val="22"/>
        </w:rPr>
        <w:t xml:space="preserve">Cadillac Hertz Team JOTA is recommended to proceed to the FIA on-site audit following close-out of the five observations detailed in Section 4. Subject to satisfactory resolution of those items, the team is well-positioned to achieve FIA 3-Star Environmental Accreditation.</w:t>
      </w:r>
    </w:p>
    <w:p>
      <w:pPr>
        <w:spacing w:after="0" w:before="160"/>
      </w:pPr>
      <w:r>
        <w:rPr>
          <w:rFonts w:ascii="Calibri" w:cs="Calibri" w:eastAsia="Calibri" w:hAnsi="Calibri"/>
          <w:b w:val="false"/>
          <w:bCs w:val="false"/>
          <w:i w:val="false"/>
          <w:iCs w:val="false"/>
          <w:color w:val="000000"/>
          <w:sz w:val="22"/>
          <w:szCs w:val="22"/>
        </w:rPr>
        <w:t xml:space="preserve"/>
      </w:r>
    </w:p>
    <w:p>
      <w:pPr>
        <w:pBdr>
          <w:bottom w:val="single" w:color="E10600" w:sz="12" w:space="4"/>
        </w:pBdr>
        <w:spacing w:after="100" w:before="280"/>
      </w:pPr>
      <w:r>
        <w:rPr>
          <w:rFonts w:ascii="Calibri" w:cs="Calibri" w:eastAsia="Calibri" w:hAnsi="Calibri"/>
          <w:b/>
          <w:bCs/>
          <w:i w:val="false"/>
          <w:iCs w:val="false"/>
          <w:color w:val="1A1C2A"/>
          <w:sz w:val="28"/>
          <w:szCs w:val="28"/>
        </w:rPr>
        <w:t xml:space="preserve">6.  Auditor Sign-Off</w:t>
      </w:r>
    </w:p>
    <w:p>
      <w:pPr>
        <w:spacing w:after="80" w:before="0"/>
        <w:jc w:val="left"/>
      </w:pPr>
      <w:r>
        <w:rPr>
          <w:rFonts w:ascii="Calibri" w:cs="Calibri" w:eastAsia="Calibri" w:hAnsi="Calibri"/>
          <w:b w:val="false"/>
          <w:bCs w:val="false"/>
          <w:i w:val="false"/>
          <w:iCs w:val="false"/>
          <w:color w:val="000000"/>
          <w:sz w:val="22"/>
          <w:szCs w:val="22"/>
        </w:rPr>
        <w:t xml:space="preserve">I confirm that this Internal EMS Audit has been conducted in accordance with the FIA Environmental Accreditation Programme criteria, that the findings accurately reflect the evidence reviewed, and that all material observations have been recorded and assigned for close-out action.</w:t>
      </w:r>
    </w:p>
    <w:p>
      <w:pPr>
        <w:spacing w:after="0" w:before="80"/>
      </w:pPr>
      <w:r>
        <w:rPr>
          <w:rFonts w:ascii="Calibri" w:cs="Calibri" w:eastAsia="Calibri" w:hAnsi="Calibri"/>
          <w:b w:val="false"/>
          <w:bCs w:val="false"/>
          <w:i w:val="false"/>
          <w:iCs w:val="false"/>
          <w:color w:val="000000"/>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Internal Auditor</w:t>
            </w:r>
          </w:p>
        </w:tc>
        <w:tc>
          <w:tcPr>
            <w:tcW w:type="dxa" w:w="468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Date of Audit</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20" w:before="0"/>
              <w:jc w:val="left"/>
            </w:pPr>
            <w:r>
              <w:rPr>
                <w:rFonts w:ascii="Calibri" w:cs="Calibri" w:eastAsia="Calibri" w:hAnsi="Calibri"/>
                <w:b/>
                <w:bCs/>
                <w:i w:val="false"/>
                <w:iCs w:val="false"/>
                <w:color w:val="000000"/>
                <w:sz w:val="24"/>
                <w:szCs w:val="24"/>
              </w:rPr>
              <w:t xml:space="preserve">Timothy Rocker</w:t>
            </w:r>
          </w:p>
          <w:p>
            <w:pPr>
              <w:spacing w:after="0" w:before="0"/>
              <w:jc w:val="left"/>
            </w:pPr>
            <w:r>
              <w:rPr>
                <w:rFonts w:ascii="Calibri" w:cs="Calibri" w:eastAsia="Calibri" w:hAnsi="Calibri"/>
                <w:b w:val="false"/>
                <w:bCs w:val="false"/>
                <w:i w:val="false"/>
                <w:iCs w:val="false"/>
                <w:color w:val="595959"/>
                <w:sz w:val="20"/>
                <w:szCs w:val="20"/>
              </w:rPr>
              <w:t xml:space="preserve">Sustainability Manager, Cadillac Hertz Team JOTA</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val="false"/>
                <w:bCs w:val="false"/>
                <w:i w:val="false"/>
                <w:iCs w:val="false"/>
                <w:color w:val="000000"/>
                <w:sz w:val="24"/>
                <w:szCs w:val="24"/>
              </w:rPr>
              <w:t xml:space="preserve">7 April 2026</w:t>
            </w:r>
          </w:p>
        </w:tc>
      </w:tr>
      <w:tr>
        <w:tc>
          <w:tcPr>
            <w:tcW w:type="dxa" w:w="468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Signature</w:t>
            </w:r>
          </w:p>
        </w:tc>
        <w:tc>
          <w:tcPr>
            <w:tcW w:type="dxa" w:w="4680"/>
            <w:tcBorders>
              <w:top w:val="single" w:color="1A1C2A" w:sz="1"/>
              <w:left w:val="single" w:color="1A1C2A" w:sz="1"/>
              <w:bottom w:val="single" w:color="1A1C2A" w:sz="1"/>
              <w:right w:val="single" w:color="1A1C2A" w:sz="1"/>
            </w:tcBorders>
            <w:shd w:fill="1A1C2A"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FFFFFF"/>
                <w:sz w:val="20"/>
                <w:szCs w:val="20"/>
              </w:rPr>
              <w:t xml:space="preserve">Audit Reference</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80"/>
            </w:pPr>
            <w:r>
              <w:rPr>
                <w:rFonts w:ascii="Calibri" w:cs="Calibri" w:eastAsia="Calibri" w:hAnsi="Calibri"/>
                <w:b w:val="false"/>
                <w:bCs w:val="false"/>
                <w:i w:val="false"/>
                <w:iCs w:val="false"/>
                <w:color w:val="000000"/>
                <w:sz w:val="22"/>
                <w:szCs w:val="22"/>
              </w:rPr>
              <w:t xml:space="preserve"/>
            </w:r>
          </w:p>
          <w:p>
            <w:pPr>
              <w:pBdr>
                <w:bottom w:val="single" w:color="AAAAAA" w:sz="4"/>
              </w:pBdr>
              <w:spacing w:after="0" w:before="0"/>
            </w:pPr>
            <w:r>
              <w:rPr>
                <w:rFonts w:ascii="Calibri" w:cs="Calibri" w:eastAsia="Calibri" w:hAnsi="Calibri"/>
                <w:b w:val="false"/>
                <w:bCs w:val="false"/>
                <w:i w:val="false"/>
                <w:iCs w:val="false"/>
                <w:color w:val="000000"/>
                <w:sz w:val="22"/>
                <w:szCs w:val="22"/>
              </w:rPr>
              <w:t xml:space="preserve"/>
            </w:r>
          </w:p>
          <w:p>
            <w:pPr>
              <w:spacing w:after="0" w:before="20"/>
            </w:pPr>
            <w:r>
              <w:rPr>
                <w:rFonts w:ascii="Calibri" w:cs="Calibri" w:eastAsia="Calibri" w:hAnsi="Calibri"/>
                <w:b w:val="false"/>
                <w:bCs w:val="false"/>
                <w:i w:val="false"/>
                <w:iCs w:val="false"/>
                <w:color w:val="000000"/>
                <w:sz w:val="22"/>
                <w:szCs w:val="22"/>
              </w:rPr>
              <w:t xml:space="preserve"/>
            </w:r>
          </w:p>
        </w:tc>
        <w:tc>
          <w:tcPr>
            <w:tcW w:type="dxa" w:w="46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top"/>
          </w:tcPr>
          <w:p>
            <w:pPr>
              <w:spacing w:after="0" w:before="0"/>
              <w:jc w:val="left"/>
            </w:pPr>
            <w:r>
              <w:rPr>
                <w:rFonts w:ascii="Calibri" w:cs="Calibri" w:eastAsia="Calibri" w:hAnsi="Calibri"/>
                <w:b/>
                <w:bCs/>
                <w:i w:val="false"/>
                <w:iCs w:val="false"/>
                <w:color w:val="E10600"/>
                <w:sz w:val="24"/>
                <w:szCs w:val="24"/>
              </w:rPr>
              <w:t xml:space="preserve">IEA-2026-001</w:t>
            </w:r>
          </w:p>
        </w:tc>
      </w:tr>
    </w:tbl>
    <w:sectPr>
      <w:headerReference w:type="default" r:id="rId7"/>
      <w:headerReference w:type="first" r:id="rId8"/>
      <w:footerReference w:type="default" r:id="rId9"/>
      <w:footerReference w:type="first" r:id="rId10"/>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spacing w:after="0" w:before="80"/>
    </w:pPr>
    <w:r>
      <w:rPr>
        <w:rFonts w:ascii="Calibri" w:cs="Calibri" w:eastAsia="Calibri" w:hAnsi="Calibri"/>
        <w:b w:val="false"/>
        <w:bCs w:val="false"/>
        <w:i w:val="false"/>
        <w:iCs w:val="false"/>
        <w:color w:val="595959"/>
        <w:sz w:val="17"/>
        <w:szCs w:val="17"/>
      </w:rPr>
      <w:t xml:space="preserve">Internal EMS Audit Report IEA-2026-001  |  Cadillac Hertz Team JOTA  |  Confidential</w:t>
    </w:r>
    <w:r>
      <w:rPr>
        <w:rFonts w:ascii="Calibri" w:cs="Calibri" w:eastAsia="Calibri" w:hAnsi="Calibri"/>
        <w:b w:val="false"/>
        <w:bCs w:val="false"/>
        <w:i w:val="false"/>
        <w:iCs w:val="false"/>
        <w:color w:val="000000"/>
        <w:sz w:val="17"/>
        <w:szCs w:val="17"/>
      </w:rPr>
      <w:t xml:space="preserve">	</w:t>
    </w:r>
    <w:r>
      <w:rPr>
        <w:rFonts w:ascii="Calibri" w:cs="Calibri" w:eastAsia="Calibri" w:hAnsi="Calibri"/>
        <w:b w:val="false"/>
        <w:bCs w:val="false"/>
        <w:i w:val="false"/>
        <w:iCs w:val="false"/>
        <w:color w:val="595959"/>
        <w:sz w:val="17"/>
        <w:szCs w:val="17"/>
      </w:rPr>
      <w:t xml:space="preserve">Page </w:t>
    </w:r>
    <w:r>
      <w:rPr>
        <w:rFonts w:ascii="Calibri" w:cs="Calibri" w:eastAsia="Calibri" w:hAnsi="Calibri"/>
        <w:color w:val="595959"/>
        <w:sz w:val="17"/>
        <w:szCs w:val="17"/>
      </w:rPr>
      <w:fldChar w:fldCharType="begin"/>
      <w:instrText xml:space="preserve">PAGE</w:instrText>
      <w:fldChar w:fldCharType="separate"/>
      <w:fldChar w:fldCharType="end"/>
    </w:r>
    <w:r>
      <w:rPr>
        <w:rFonts w:ascii="Calibri" w:cs="Calibri" w:eastAsia="Calibri" w:hAnsi="Calibri"/>
        <w:b w:val="false"/>
        <w:bCs w:val="false"/>
        <w:i w:val="false"/>
        <w:iCs w:val="false"/>
        <w:color w:val="595959"/>
        <w:sz w:val="17"/>
        <w:szCs w:val="17"/>
      </w:rPr>
      <w:t xml:space="preserve"> of </w:t>
    </w:r>
    <w:r>
      <w:rPr>
        <w:rFonts w:ascii="Calibri" w:cs="Calibri" w:eastAsia="Calibri" w:hAnsi="Calibri"/>
        <w:color w:val="595959"/>
        <w:sz w:val="17"/>
        <w:szCs w:val="17"/>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Calibri" w:cs="Calibri" w:eastAsia="Calibri" w:hAnsi="Calibri"/>
        <w:b w:val="false"/>
        <w:bCs w:val="false"/>
        <w:i w:val="false"/>
        <w:iCs w:val="false"/>
        <w:color w:val="000000"/>
        <w:sz w:val="22"/>
        <w:szCs w:val="22"/>
      </w:rP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0600" w:sz="12" w:space="4"/>
      </w:pBdr>
      <w:tabs>
        <w:tab w:val="right" w:pos="9026"/>
      </w:tabs>
      <w:spacing w:after="100" w:before="0"/>
    </w:pPr>
    <w:r>
      <w:drawing>
        <wp:inline distT="0" distB="0" distL="0" distR="0">
          <wp:extent cx="685800" cy="180975"/>
          <wp:effectExtent t="0" r="0" b="0" l="0"/>
          <wp:docPr id="1" name="JOTA" descr="JOTA logo" title="J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85800" cy="180975"/>
                  </a:xfrm>
                  <a:prstGeom prst="rect">
                    <a:avLst/>
                  </a:prstGeom>
                </pic:spPr>
              </pic:pic>
            </a:graphicData>
          </a:graphic>
        </wp:inline>
      </w:drawing>
    </w:r>
    <w:r>
      <w:rPr>
        <w:rFonts w:ascii="Calibri" w:cs="Calibri" w:eastAsia="Calibri" w:hAnsi="Calibri"/>
        <w:b w:val="false"/>
        <w:bCs w:val="false"/>
        <w:i w:val="false"/>
        <w:iCs w:val="false"/>
        <w:color w:val="000000"/>
        <w:sz w:val="18"/>
        <w:szCs w:val="18"/>
      </w:rPr>
      <w:t xml:space="preserve">	</w:t>
    </w:r>
    <w:r>
      <w:rPr>
        <w:rFonts w:ascii="Calibri" w:cs="Calibri" w:eastAsia="Calibri" w:hAnsi="Calibri"/>
        <w:b w:val="false"/>
        <w:bCs w:val="false"/>
        <w:i w:val="false"/>
        <w:iCs w:val="false"/>
        <w:color w:val="595959"/>
        <w:sz w:val="17"/>
        <w:szCs w:val="17"/>
      </w:rPr>
      <w:t xml:space="preserve">INTERNAL EMS AUDIT REPORT  |  CADILLAC HERTZ TEAM JOTA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Calibri" w:cs="Calibri" w:eastAsia="Calibri" w:hAnsi="Calibri"/>
        <w:b w:val="false"/>
        <w:bCs w:val="false"/>
        <w:i w:val="false"/>
        <w:iCs w:val="false"/>
        <w:color w:val="000000"/>
        <w:sz w:val="22"/>
        <w:szCs w:val="22"/>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80"/>
      <w:outlineLvl w:val="0"/>
    </w:pPr>
    <w:rPr>
      <w:rFonts w:ascii="Calibri" w:cs="Calibri" w:eastAsia="Calibri" w:hAnsi="Calibri"/>
      <w:b/>
      <w:bCs/>
      <w:color w:val="1A1C2A"/>
      <w:sz w:val="28"/>
      <w:szCs w:val="28"/>
    </w:rPr>
  </w:style>
  <w:style w:type="paragraph" w:styleId="Heading2">
    <w:name w:val="Heading 2"/>
    <w:basedOn w:val="Normal"/>
    <w:next w:val="Normal"/>
    <w:qFormat/>
    <w:pPr>
      <w:spacing w:after="80" w:before="200"/>
      <w:outlineLvl w:val="1"/>
    </w:pPr>
    <w:rPr>
      <w:rFonts w:ascii="Calibri" w:cs="Calibri" w:eastAsia="Calibri" w:hAnsi="Calibri"/>
      <w:b/>
      <w:bCs/>
      <w:color w:val="1A1C2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image" Target="media/c34d9ac74d35110cc15625dcb7f0a51b7eee06fd.png"/><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34d9ac74d35110cc15625dcb7f0a51b7eee06fd.png"/></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2026-04-06T11:53:14.289Z</dcterms:created>
  <dcterms:modified xsi:type="dcterms:W3CDTF">2026-04-06T11:53:14.289Z</dcterms:modified>
</cp:coreProperties>
</file>

<file path=docProps/custom.xml><?xml version="1.0" encoding="utf-8"?>
<Properties xmlns="http://schemas.openxmlformats.org/officeDocument/2006/custom-properties" xmlns:vt="http://schemas.openxmlformats.org/officeDocument/2006/docPropsVTypes"/>
</file>